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DF07" w14:textId="77777777" w:rsidR="00016C1A" w:rsidRDefault="00016C1A" w:rsidP="00801315">
      <w:pPr>
        <w:rPr>
          <w:lang w:val="mi-NZ"/>
        </w:rPr>
      </w:pPr>
    </w:p>
    <w:p w14:paraId="5E8F19C6" w14:textId="77777777" w:rsidR="00801315" w:rsidRDefault="00801315" w:rsidP="00801315">
      <w:pPr>
        <w:rPr>
          <w:lang w:val="mi-NZ"/>
        </w:rPr>
      </w:pPr>
    </w:p>
    <w:p w14:paraId="54BA02C5" w14:textId="77777777" w:rsidR="00801315" w:rsidRDefault="00801315" w:rsidP="00801315">
      <w:pPr>
        <w:rPr>
          <w:lang w:val="mi-NZ"/>
        </w:rPr>
      </w:pPr>
    </w:p>
    <w:p w14:paraId="1EACD397" w14:textId="77777777" w:rsidR="00801315" w:rsidRDefault="00801315" w:rsidP="00801315">
      <w:pPr>
        <w:rPr>
          <w:lang w:val="mi-NZ"/>
        </w:rPr>
      </w:pPr>
    </w:p>
    <w:p w14:paraId="5024BA72" w14:textId="77777777" w:rsidR="00801315" w:rsidRDefault="00801315" w:rsidP="00801315">
      <w:pPr>
        <w:rPr>
          <w:lang w:val="mi-NZ"/>
        </w:rPr>
      </w:pPr>
    </w:p>
    <w:p w14:paraId="38F41121" w14:textId="77777777" w:rsidR="00801315" w:rsidRDefault="00801315" w:rsidP="00801315">
      <w:pPr>
        <w:rPr>
          <w:lang w:val="mi-NZ"/>
        </w:rPr>
      </w:pPr>
    </w:p>
    <w:p w14:paraId="67B7C2AA" w14:textId="77777777" w:rsidR="003F1300" w:rsidRDefault="003F1300" w:rsidP="00801315">
      <w:pPr>
        <w:pStyle w:val="Title"/>
        <w:rPr>
          <w:lang w:val="mi-NZ"/>
        </w:rPr>
      </w:pPr>
    </w:p>
    <w:p w14:paraId="7F344001" w14:textId="40932323" w:rsidR="00801315" w:rsidRDefault="00801315" w:rsidP="00801315">
      <w:pPr>
        <w:pStyle w:val="Title"/>
      </w:pPr>
      <w:r>
        <w:t xml:space="preserve">PSA Eco </w:t>
      </w:r>
      <w:r w:rsidRPr="00455886">
        <w:t xml:space="preserve">Network submission </w:t>
      </w:r>
      <w:r w:rsidR="00E96E41" w:rsidRPr="00455886">
        <w:t>on the Crown Minerals Am</w:t>
      </w:r>
      <w:r w:rsidR="00E96E41" w:rsidRPr="00E96E41">
        <w:t>endment Bill</w:t>
      </w:r>
    </w:p>
    <w:p w14:paraId="2CDA9835" w14:textId="4C1175ED" w:rsidR="00801315" w:rsidRPr="00801315" w:rsidRDefault="00E96E41" w:rsidP="00801315">
      <w:pPr>
        <w:pStyle w:val="Subtitle"/>
      </w:pPr>
      <w:r>
        <w:t>October</w:t>
      </w:r>
      <w:r w:rsidR="00801315">
        <w:t xml:space="preserve"> </w:t>
      </w:r>
      <w:r w:rsidR="00801315" w:rsidRPr="00801315">
        <w:t>2024</w:t>
      </w:r>
    </w:p>
    <w:p w14:paraId="12886957" w14:textId="77777777" w:rsidR="00801315" w:rsidRPr="00801315" w:rsidRDefault="00801315" w:rsidP="00801315"/>
    <w:p w14:paraId="372F5F01" w14:textId="77777777" w:rsidR="00801315" w:rsidRPr="00EA5CAB" w:rsidRDefault="0D650A43" w:rsidP="00801315">
      <w:pPr>
        <w:pStyle w:val="Heading1"/>
      </w:pPr>
      <w:r>
        <w:t>About the PSA Eco Network</w:t>
      </w:r>
    </w:p>
    <w:p w14:paraId="6263246B" w14:textId="4DBF05EF" w:rsidR="00801315" w:rsidRDefault="0D650A43" w:rsidP="0D650A43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 w:rsidRPr="0D650A43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The PSA Eco Network is part of the New Zealand Public Service Association Te Pūkenga Here Tikanga Mahi, the union representing over 96,000 public and community service workers. </w:t>
      </w:r>
    </w:p>
    <w:p w14:paraId="2F5C7F4F" w14:textId="77777777" w:rsidR="00801315" w:rsidRDefault="00801315" w:rsidP="00801315">
      <w:pPr>
        <w:spacing w:line="276" w:lineRule="auto"/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</w:pPr>
      <w:r w:rsidRPr="00847144">
        <w:rPr>
          <w:rFonts w:ascii="Calibri Light" w:eastAsia="Times New Roman" w:hAnsi="Calibri Light" w:cs="Calibri Light"/>
          <w:color w:val="000000"/>
          <w:lang w:val="en-AU"/>
        </w:rPr>
        <w:t xml:space="preserve">The PSA Eco Network represents over 3,000 workers across public and community services who 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are motivated to act </w:t>
      </w:r>
      <w:r w:rsidRPr="00682D8C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to improve workplace sustainability and campaign for action on climate change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</w:t>
      </w:r>
      <w:r w:rsidRPr="00847144">
        <w:rPr>
          <w:rFonts w:ascii="Calibri Light" w:eastAsia="Times New Roman" w:hAnsi="Calibri Light" w:cs="Calibri Light"/>
          <w:color w:val="000000"/>
          <w:bdr w:val="none" w:sz="0" w:space="0" w:color="auto" w:frame="1"/>
          <w:lang w:val="en-AU"/>
        </w:rPr>
        <w:t>across the public sector</w:t>
      </w:r>
      <w:r>
        <w:rPr>
          <w:rFonts w:ascii="Calibri Light" w:eastAsia="Times New Roman" w:hAnsi="Calibri Light" w:cs="Calibri Light"/>
          <w:color w:val="000000"/>
          <w:bdr w:val="none" w:sz="0" w:space="0" w:color="auto" w:frame="1"/>
          <w:lang w:val="en-AU"/>
        </w:rPr>
        <w:t>.</w:t>
      </w:r>
    </w:p>
    <w:p w14:paraId="5384F3B3" w14:textId="347EC744" w:rsidR="00801315" w:rsidRDefault="00801315" w:rsidP="0D650A43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Our members come from across the public sector – from the core public service to local government, the health sector, and publicly funded community services. I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n many cases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our members are motivated by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the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same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knowledge and expertise that also enables them to deliver quality advice and public services. 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Our members see the importance of public and community services in leading a just transition to a low-emission, sustainable Aotearoa. </w:t>
      </w:r>
    </w:p>
    <w:p w14:paraId="1F0F5CF3" w14:textId="06E180AF" w:rsidR="00801315" w:rsidRPr="004D4D48" w:rsidRDefault="0D650A43" w:rsidP="004D4D48">
      <w:pPr>
        <w:pStyle w:val="Heading3"/>
        <w:rPr>
          <w:lang w:val="en-AU"/>
        </w:rPr>
      </w:pPr>
      <w:r w:rsidRPr="0D650A43">
        <w:rPr>
          <w:lang w:val="en-AU"/>
        </w:rPr>
        <w:t xml:space="preserve">General feedback on Government approach to climate reductions </w:t>
      </w:r>
    </w:p>
    <w:p w14:paraId="0A8CBA4A" w14:textId="318164EB" w:rsidR="00801315" w:rsidRDefault="00801315" w:rsidP="00801315">
      <w:pPr>
        <w:spacing w:line="276" w:lineRule="auto"/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The Eco Network supports the aims of the Carbon Neutral Government Programme, which results in both environmental improvements, and operational savings for the public service – vital in a time of cost-cutting resulting in mass job losses. </w:t>
      </w:r>
    </w:p>
    <w:p w14:paraId="3EF7DB5B" w14:textId="37D0187B" w:rsidR="0D650A43" w:rsidRDefault="0D650A43" w:rsidP="0D650A43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 w:rsidRPr="0D650A43">
        <w:rPr>
          <w:rFonts w:ascii="Calibri Light" w:eastAsia="Times New Roman" w:hAnsi="Calibri Light" w:cs="Calibri Light"/>
          <w:color w:val="000000" w:themeColor="accent5"/>
          <w:lang w:val="en-AU"/>
        </w:rPr>
        <w:t>We support evidence-based actions towards meaningful emissions reduction. For example, there is a growing pool of evidence showing the emissions benefit</w:t>
      </w:r>
      <w:r w:rsidRPr="0D650A43">
        <w:rPr>
          <w:rStyle w:val="FootnoteReference"/>
          <w:rFonts w:ascii="Calibri Light" w:eastAsia="Times New Roman" w:hAnsi="Calibri Light" w:cs="Calibri Light"/>
          <w:color w:val="000000" w:themeColor="accent5"/>
          <w:lang w:val="en-AU"/>
        </w:rPr>
        <w:footnoteReference w:id="2"/>
      </w:r>
      <w:r w:rsidRPr="0D650A43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of flexible working arrangements that encourage staff to work from home</w:t>
      </w:r>
      <w:r w:rsidRPr="0D650A43">
        <w:rPr>
          <w:rStyle w:val="FootnoteReference"/>
          <w:rFonts w:ascii="Calibri Light" w:eastAsia="Times New Roman" w:hAnsi="Calibri Light" w:cs="Calibri Light"/>
          <w:color w:val="000000" w:themeColor="accent5"/>
          <w:lang w:val="en-AU"/>
        </w:rPr>
        <w:footnoteReference w:id="3"/>
      </w:r>
      <w:r w:rsidRPr="0D650A43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or travel off-peak</w:t>
      </w:r>
      <w:r w:rsidRPr="0D650A43">
        <w:rPr>
          <w:rStyle w:val="FootnoteReference"/>
          <w:rFonts w:ascii="Calibri Light" w:eastAsia="Times New Roman" w:hAnsi="Calibri Light" w:cs="Calibri Light"/>
          <w:color w:val="000000" w:themeColor="accent5"/>
          <w:lang w:val="en-AU"/>
        </w:rPr>
        <w:footnoteReference w:id="4"/>
      </w:r>
      <w:r w:rsidRPr="0D650A43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. </w:t>
      </w:r>
    </w:p>
    <w:p w14:paraId="53D37263" w14:textId="682B2018" w:rsidR="00801315" w:rsidRDefault="00801315" w:rsidP="00801315">
      <w:pPr>
        <w:spacing w:line="276" w:lineRule="auto"/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</w:pPr>
    </w:p>
    <w:p w14:paraId="71D82112" w14:textId="7B3FB654" w:rsidR="00801315" w:rsidRDefault="00E96E41" w:rsidP="00801315">
      <w:pPr>
        <w:pStyle w:val="Heading1"/>
      </w:pPr>
      <w:r>
        <w:t>Our feedback on the Bill</w:t>
      </w:r>
    </w:p>
    <w:p w14:paraId="71534572" w14:textId="5DC888FD" w:rsidR="00B2773B" w:rsidRDefault="00E96E41" w:rsidP="0080131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>We strongly oppose this Bill</w:t>
      </w:r>
      <w:r w:rsidR="00141CAA">
        <w:rPr>
          <w:rFonts w:ascii="Calibri Light" w:eastAsia="Times New Roman" w:hAnsi="Calibri Light" w:cs="Calibri Light"/>
          <w:color w:val="000000"/>
          <w:lang w:val="en-AU"/>
        </w:rPr>
        <w:t xml:space="preserve">, and </w:t>
      </w:r>
      <w:proofErr w:type="gramStart"/>
      <w:r w:rsidR="00B2773B">
        <w:rPr>
          <w:rFonts w:ascii="Calibri Light" w:eastAsia="Times New Roman" w:hAnsi="Calibri Light" w:cs="Calibri Light"/>
          <w:color w:val="000000"/>
          <w:lang w:val="en-AU"/>
        </w:rPr>
        <w:t xml:space="preserve">in particular </w:t>
      </w:r>
      <w:r w:rsidR="00141CAA">
        <w:rPr>
          <w:rFonts w:ascii="Calibri Light" w:eastAsia="Times New Roman" w:hAnsi="Calibri Light" w:cs="Calibri Light"/>
          <w:color w:val="000000"/>
          <w:lang w:val="en-AU"/>
        </w:rPr>
        <w:t>we</w:t>
      </w:r>
      <w:proofErr w:type="gramEnd"/>
      <w:r w:rsidR="00141CAA">
        <w:rPr>
          <w:rFonts w:ascii="Calibri Light" w:eastAsia="Times New Roman" w:hAnsi="Calibri Light" w:cs="Calibri Light"/>
          <w:color w:val="000000"/>
          <w:lang w:val="en-AU"/>
        </w:rPr>
        <w:t xml:space="preserve"> strongly oppose the reversal of the</w:t>
      </w:r>
      <w:r w:rsidR="00B2773B">
        <w:rPr>
          <w:rFonts w:ascii="Calibri Light" w:eastAsia="Times New Roman" w:hAnsi="Calibri Light" w:cs="Calibri Light"/>
          <w:color w:val="000000"/>
          <w:lang w:val="en-AU"/>
        </w:rPr>
        <w:t xml:space="preserve"> 2018 oil and gas exploration ban. </w:t>
      </w:r>
      <w:r w:rsidR="00B63FB5">
        <w:rPr>
          <w:rFonts w:ascii="Calibri Light" w:eastAsia="Times New Roman" w:hAnsi="Calibri Light" w:cs="Calibri Light"/>
          <w:color w:val="000000"/>
          <w:lang w:val="en-AU"/>
        </w:rPr>
        <w:t xml:space="preserve">We </w:t>
      </w:r>
      <w:r w:rsidR="00D94694">
        <w:rPr>
          <w:rFonts w:ascii="Calibri Light" w:eastAsia="Times New Roman" w:hAnsi="Calibri Light" w:cs="Calibri Light"/>
          <w:color w:val="000000"/>
          <w:lang w:val="en-AU"/>
        </w:rPr>
        <w:t xml:space="preserve">call on the </w:t>
      </w:r>
      <w:r w:rsidR="00D94694" w:rsidRPr="00D94694">
        <w:rPr>
          <w:rFonts w:ascii="Calibri Light" w:eastAsia="Times New Roman" w:hAnsi="Calibri Light" w:cs="Calibri Light"/>
          <w:color w:val="000000"/>
          <w:lang w:val="en-AU"/>
        </w:rPr>
        <w:t>Economic Development, Science and Innovation Committee</w:t>
      </w:r>
      <w:r w:rsidR="00D94694">
        <w:rPr>
          <w:rFonts w:ascii="Calibri Light" w:eastAsia="Times New Roman" w:hAnsi="Calibri Light" w:cs="Calibri Light"/>
          <w:color w:val="000000"/>
          <w:lang w:val="en-AU"/>
        </w:rPr>
        <w:t xml:space="preserve"> to recommend that this Bill does not proceed.</w:t>
      </w:r>
    </w:p>
    <w:p w14:paraId="002A93D7" w14:textId="44DBC198" w:rsidR="00D81C5D" w:rsidRDefault="00D81C5D" w:rsidP="00D81C5D">
      <w:pPr>
        <w:pStyle w:val="Heading3"/>
        <w:rPr>
          <w:lang w:val="en-AU"/>
        </w:rPr>
      </w:pPr>
      <w:r>
        <w:rPr>
          <w:lang w:val="en-AU"/>
        </w:rPr>
        <w:t>Oil and gas exploration</w:t>
      </w:r>
    </w:p>
    <w:p w14:paraId="7AA76BF1" w14:textId="7516716F" w:rsidR="00292CB2" w:rsidRDefault="00B2773B" w:rsidP="00292ACF">
      <w:p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292ACF">
        <w:rPr>
          <w:rFonts w:ascii="Calibri Light" w:eastAsia="Times New Roman" w:hAnsi="Calibri Light" w:cs="Calibri Light"/>
          <w:color w:val="000000"/>
        </w:rPr>
        <w:t>Reversing the ban</w:t>
      </w:r>
      <w:r w:rsidR="00483769" w:rsidRPr="00292ACF">
        <w:rPr>
          <w:rFonts w:ascii="Calibri Light" w:eastAsia="Times New Roman" w:hAnsi="Calibri Light" w:cs="Calibri Light"/>
          <w:color w:val="000000"/>
        </w:rPr>
        <w:t xml:space="preserve"> disregards the scientific consensus on climate change, which unequivocally shows that continued fossil fuel exploration and extraction are incompatible with </w:t>
      </w:r>
      <w:r w:rsidR="00D81C5D" w:rsidRPr="00292ACF">
        <w:rPr>
          <w:rFonts w:ascii="Calibri Light" w:eastAsia="Times New Roman" w:hAnsi="Calibri Light" w:cs="Calibri Light"/>
          <w:color w:val="000000"/>
        </w:rPr>
        <w:t>limiting</w:t>
      </w:r>
      <w:r w:rsidR="00483769" w:rsidRPr="00292ACF">
        <w:rPr>
          <w:rFonts w:ascii="Calibri Light" w:eastAsia="Times New Roman" w:hAnsi="Calibri Light" w:cs="Calibri Light"/>
          <w:color w:val="000000"/>
        </w:rPr>
        <w:t xml:space="preserve"> global warming to 1.5°C</w:t>
      </w:r>
      <w:r w:rsidR="00D81C5D" w:rsidRPr="00292ACF">
        <w:rPr>
          <w:rFonts w:ascii="Calibri Light" w:eastAsia="Times New Roman" w:hAnsi="Calibri Light" w:cs="Calibri Light"/>
          <w:color w:val="000000"/>
        </w:rPr>
        <w:t xml:space="preserve"> – a goal that New Zealand has signed up to via the Paris Agreement because of the potentially catastrophic consequences of </w:t>
      </w:r>
      <w:r w:rsidR="00E15641" w:rsidRPr="00292ACF">
        <w:rPr>
          <w:rFonts w:ascii="Calibri Light" w:eastAsia="Times New Roman" w:hAnsi="Calibri Light" w:cs="Calibri Light"/>
          <w:color w:val="000000"/>
        </w:rPr>
        <w:t>higher levels of warning.</w:t>
      </w:r>
      <w:r w:rsidR="00483769" w:rsidRPr="00292ACF">
        <w:rPr>
          <w:rFonts w:ascii="Calibri Light" w:eastAsia="Times New Roman" w:hAnsi="Calibri Light" w:cs="Calibri Light"/>
          <w:color w:val="000000"/>
        </w:rPr>
        <w:t xml:space="preserve"> </w:t>
      </w:r>
    </w:p>
    <w:p w14:paraId="6C384D58" w14:textId="0ECC24FA" w:rsidR="00483769" w:rsidRPr="00292ACF" w:rsidRDefault="00502A81" w:rsidP="00292ACF">
      <w:p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292ACF">
        <w:rPr>
          <w:rFonts w:ascii="Calibri Light" w:eastAsia="Times New Roman" w:hAnsi="Calibri Light" w:cs="Calibri Light"/>
          <w:color w:val="000000" w:themeColor="accent5"/>
        </w:rPr>
        <w:t xml:space="preserve">The science is clear that we need to leave all </w:t>
      </w:r>
      <w:r w:rsidR="004952B0">
        <w:rPr>
          <w:rFonts w:ascii="Calibri Light" w:eastAsia="Times New Roman" w:hAnsi="Calibri Light" w:cs="Calibri Light"/>
          <w:color w:val="000000" w:themeColor="accent5"/>
        </w:rPr>
        <w:t>remaining</w:t>
      </w:r>
      <w:r w:rsidR="004952B0" w:rsidRPr="00292ACF">
        <w:rPr>
          <w:rFonts w:ascii="Calibri Light" w:eastAsia="Times New Roman" w:hAnsi="Calibri Light" w:cs="Calibri Light"/>
          <w:color w:val="000000" w:themeColor="accent5"/>
        </w:rPr>
        <w:t xml:space="preserve"> </w:t>
      </w:r>
      <w:r w:rsidRPr="00292ACF">
        <w:rPr>
          <w:rFonts w:ascii="Calibri Light" w:eastAsia="Times New Roman" w:hAnsi="Calibri Light" w:cs="Calibri Light"/>
          <w:color w:val="000000" w:themeColor="accent5"/>
        </w:rPr>
        <w:t>fossil fuel in the ground</w:t>
      </w:r>
      <w:r w:rsidR="00E15641" w:rsidRPr="00292ACF">
        <w:rPr>
          <w:rFonts w:ascii="Calibri Light" w:eastAsia="Times New Roman" w:hAnsi="Calibri Light" w:cs="Calibri Light"/>
          <w:color w:val="000000" w:themeColor="accent5"/>
        </w:rPr>
        <w:t xml:space="preserve">, so </w:t>
      </w:r>
      <w:proofErr w:type="gramStart"/>
      <w:r w:rsidR="00E15641" w:rsidRPr="00292ACF">
        <w:rPr>
          <w:rFonts w:ascii="Calibri Light" w:eastAsia="Times New Roman" w:hAnsi="Calibri Light" w:cs="Calibri Light"/>
          <w:color w:val="000000" w:themeColor="accent5"/>
        </w:rPr>
        <w:t>making a decision</w:t>
      </w:r>
      <w:proofErr w:type="gramEnd"/>
      <w:r w:rsidR="00E15641" w:rsidRPr="00292ACF">
        <w:rPr>
          <w:rFonts w:ascii="Calibri Light" w:eastAsia="Times New Roman" w:hAnsi="Calibri Light" w:cs="Calibri Light"/>
          <w:color w:val="000000" w:themeColor="accent5"/>
        </w:rPr>
        <w:t xml:space="preserve"> to</w:t>
      </w:r>
      <w:r w:rsidR="00812AA8" w:rsidRPr="00292ACF">
        <w:rPr>
          <w:rFonts w:ascii="Calibri Light" w:eastAsia="Times New Roman" w:hAnsi="Calibri Light" w:cs="Calibri Light"/>
          <w:color w:val="000000" w:themeColor="accent5"/>
        </w:rPr>
        <w:t xml:space="preserve"> </w:t>
      </w:r>
      <w:r w:rsidR="5C1A3CA6" w:rsidRPr="5C1A3CA6">
        <w:rPr>
          <w:rFonts w:ascii="Calibri Light" w:eastAsia="Times New Roman" w:hAnsi="Calibri Light" w:cs="Calibri Light"/>
          <w:color w:val="000000" w:themeColor="accent5"/>
        </w:rPr>
        <w:t>allow</w:t>
      </w:r>
      <w:r w:rsidR="00E15641" w:rsidRPr="00292ACF">
        <w:rPr>
          <w:rFonts w:ascii="Calibri Light" w:eastAsia="Times New Roman" w:hAnsi="Calibri Light" w:cs="Calibri Light"/>
          <w:color w:val="000000" w:themeColor="accent5"/>
        </w:rPr>
        <w:t xml:space="preserve"> and promote more fossil fuel extraction </w:t>
      </w:r>
      <w:r w:rsidR="00812AA8" w:rsidRPr="00292ACF">
        <w:rPr>
          <w:rFonts w:ascii="Calibri Light" w:eastAsia="Times New Roman" w:hAnsi="Calibri Light" w:cs="Calibri Light"/>
          <w:color w:val="000000" w:themeColor="accent5"/>
        </w:rPr>
        <w:t>is incredibly irresponsible.</w:t>
      </w:r>
    </w:p>
    <w:p w14:paraId="254C5AEC" w14:textId="0689ECC7" w:rsidR="00384496" w:rsidRPr="00384496" w:rsidRDefault="00E15641" w:rsidP="00753334">
      <w:p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292ACF">
        <w:rPr>
          <w:rFonts w:ascii="Calibri Light" w:eastAsia="Times New Roman" w:hAnsi="Calibri Light" w:cs="Calibri Light"/>
          <w:color w:val="000000"/>
        </w:rPr>
        <w:t xml:space="preserve">The Government has sought to </w:t>
      </w:r>
      <w:r w:rsidR="00292ACF" w:rsidRPr="00292ACF">
        <w:rPr>
          <w:rFonts w:ascii="Calibri Light" w:eastAsia="Times New Roman" w:hAnsi="Calibri Light" w:cs="Calibri Light"/>
          <w:color w:val="000000"/>
        </w:rPr>
        <w:t xml:space="preserve">justify reversing the ban </w:t>
      </w:r>
      <w:r w:rsidR="0026191F">
        <w:rPr>
          <w:rFonts w:ascii="Calibri Light" w:eastAsia="Times New Roman" w:hAnsi="Calibri Light" w:cs="Calibri Light"/>
          <w:color w:val="000000"/>
        </w:rPr>
        <w:t xml:space="preserve">based on current constraints on energy supply, and </w:t>
      </w:r>
      <w:r w:rsidR="00E23352">
        <w:rPr>
          <w:rFonts w:ascii="Calibri Light" w:eastAsia="Times New Roman" w:hAnsi="Calibri Light" w:cs="Calibri Light"/>
          <w:color w:val="000000"/>
        </w:rPr>
        <w:t xml:space="preserve">to </w:t>
      </w:r>
      <w:r w:rsidR="00833E1C">
        <w:t>“</w:t>
      </w:r>
      <w:r w:rsidR="00ED1D94" w:rsidRPr="00ED1D94">
        <w:rPr>
          <w:rFonts w:ascii="Calibri Light" w:eastAsia="Times New Roman" w:hAnsi="Calibri Light" w:cs="Calibri Light"/>
          <w:color w:val="000000"/>
        </w:rPr>
        <w:t>ensure that gas remains a transition fuel until viable and cost-effective alternatives are in place</w:t>
      </w:r>
      <w:r w:rsidR="00833E1C">
        <w:rPr>
          <w:rFonts w:ascii="Calibri Light" w:eastAsia="Times New Roman" w:hAnsi="Calibri Light" w:cs="Calibri Light"/>
          <w:color w:val="000000"/>
        </w:rPr>
        <w:t>”.</w:t>
      </w:r>
      <w:r w:rsidR="00E23352">
        <w:rPr>
          <w:rFonts w:ascii="Calibri Light" w:eastAsia="Times New Roman" w:hAnsi="Calibri Light" w:cs="Calibri Light"/>
          <w:color w:val="000000"/>
        </w:rPr>
        <w:t xml:space="preserve"> We strongly believe that this is the wrong approach.</w:t>
      </w:r>
      <w:r w:rsidR="00D401C9">
        <w:rPr>
          <w:rFonts w:ascii="Calibri Light" w:eastAsia="Times New Roman" w:hAnsi="Calibri Light" w:cs="Calibri Light"/>
          <w:color w:val="000000"/>
        </w:rPr>
        <w:t xml:space="preserve"> </w:t>
      </w:r>
      <w:r w:rsidR="00F95707" w:rsidRPr="00F95707">
        <w:rPr>
          <w:rFonts w:ascii="Calibri Light" w:eastAsia="Times New Roman" w:hAnsi="Calibri Light" w:cs="Calibri Light"/>
          <w:color w:val="000000"/>
        </w:rPr>
        <w:t xml:space="preserve">Supporting </w:t>
      </w:r>
      <w:r w:rsidR="004C7BDB">
        <w:rPr>
          <w:rFonts w:ascii="Calibri Light" w:eastAsia="Times New Roman" w:hAnsi="Calibri Light" w:cs="Calibri Light"/>
          <w:color w:val="000000"/>
        </w:rPr>
        <w:t xml:space="preserve">high-emission </w:t>
      </w:r>
      <w:r w:rsidR="00F95707" w:rsidRPr="00F95707">
        <w:rPr>
          <w:rFonts w:ascii="Calibri Light" w:eastAsia="Times New Roman" w:hAnsi="Calibri Light" w:cs="Calibri Light"/>
          <w:color w:val="000000"/>
        </w:rPr>
        <w:t>industries may yield short-term financial benefits, but it undermines the long-term resilience of New Zealand's economy.</w:t>
      </w:r>
      <w:r w:rsidR="007F5468">
        <w:rPr>
          <w:rFonts w:ascii="Calibri Light" w:eastAsia="Times New Roman" w:hAnsi="Calibri Light" w:cs="Calibri Light"/>
          <w:color w:val="000000"/>
        </w:rPr>
        <w:t xml:space="preserve"> </w:t>
      </w:r>
      <w:r w:rsidR="00753334" w:rsidRPr="00CD11AC">
        <w:rPr>
          <w:rFonts w:ascii="Calibri Light" w:eastAsia="Times New Roman" w:hAnsi="Calibri Light" w:cs="Calibri Light"/>
          <w:color w:val="000000" w:themeColor="accent5"/>
        </w:rPr>
        <w:t xml:space="preserve">This </w:t>
      </w:r>
      <w:r w:rsidR="00753334">
        <w:rPr>
          <w:rFonts w:ascii="Calibri Light" w:eastAsia="Times New Roman" w:hAnsi="Calibri Light" w:cs="Calibri Light"/>
          <w:color w:val="000000" w:themeColor="accent5"/>
        </w:rPr>
        <w:t>Bill</w:t>
      </w:r>
      <w:r w:rsidR="00753334" w:rsidRPr="00CD11AC">
        <w:rPr>
          <w:rFonts w:ascii="Calibri Light" w:eastAsia="Times New Roman" w:hAnsi="Calibri Light" w:cs="Calibri Light"/>
          <w:color w:val="000000" w:themeColor="accent5"/>
        </w:rPr>
        <w:t xml:space="preserve"> would lock </w:t>
      </w:r>
      <w:proofErr w:type="spellStart"/>
      <w:r w:rsidR="00753334" w:rsidRPr="00CD11AC">
        <w:rPr>
          <w:rFonts w:ascii="Calibri Light" w:eastAsia="Times New Roman" w:hAnsi="Calibri Light" w:cs="Calibri Light"/>
          <w:color w:val="000000" w:themeColor="accent5"/>
        </w:rPr>
        <w:t>kaimahi</w:t>
      </w:r>
      <w:proofErr w:type="spellEnd"/>
      <w:r w:rsidR="00753334" w:rsidRPr="00CD11AC">
        <w:rPr>
          <w:rFonts w:ascii="Calibri Light" w:eastAsia="Times New Roman" w:hAnsi="Calibri Light" w:cs="Calibri Light"/>
          <w:color w:val="000000" w:themeColor="accent5"/>
        </w:rPr>
        <w:t xml:space="preserve"> into industries with no long-term future, rather than investing into the skills and training needed for the renewable energy sector. </w:t>
      </w:r>
    </w:p>
    <w:p w14:paraId="02274333" w14:textId="184365D9" w:rsidR="00753334" w:rsidRPr="00CD11AC" w:rsidRDefault="00753334" w:rsidP="00753334">
      <w:pPr>
        <w:spacing w:line="276" w:lineRule="auto"/>
        <w:rPr>
          <w:rFonts w:ascii="Calibri Light" w:eastAsia="Times New Roman" w:hAnsi="Calibri Light" w:cs="Calibri Light"/>
          <w:color w:val="000000" w:themeColor="accent5"/>
        </w:rPr>
      </w:pPr>
      <w:r w:rsidRPr="00CD11AC">
        <w:rPr>
          <w:rFonts w:ascii="Calibri Light" w:eastAsia="Times New Roman" w:hAnsi="Calibri Light" w:cs="Calibri Light"/>
          <w:color w:val="000000" w:themeColor="accent5"/>
        </w:rPr>
        <w:t>Petroleum and gas are not ‘transition fuels</w:t>
      </w:r>
      <w:r>
        <w:rPr>
          <w:rFonts w:ascii="Calibri Light" w:eastAsia="Times New Roman" w:hAnsi="Calibri Light" w:cs="Calibri Light"/>
          <w:color w:val="000000" w:themeColor="accent5"/>
        </w:rPr>
        <w:t>”</w:t>
      </w:r>
      <w:r w:rsidRPr="00CD11AC">
        <w:rPr>
          <w:rFonts w:ascii="Calibri Light" w:eastAsia="Times New Roman" w:hAnsi="Calibri Light" w:cs="Calibri Light"/>
          <w:color w:val="000000" w:themeColor="accent5"/>
        </w:rPr>
        <w:t xml:space="preserve"> in the current context of rapidly increasing renewable energy development both in NZ and globally. Existing gas-users are already well into their decarbonisation efforts, and re-introducing petroleum lines would be costly, if not pointless as significant gas-users move away from its usage. Oil and gas trends are geo-politically sensitive and subject to supply chain disruptions, which is has flow-on impacts to New Zealand economy. Additionally, the medium to long-term viability of new petroleum exploration and production is economically risky as the world moves towards cleaner energy. </w:t>
      </w:r>
      <w:r w:rsidR="004F1A03">
        <w:rPr>
          <w:rFonts w:ascii="Calibri Light" w:eastAsia="Times New Roman" w:hAnsi="Calibri Light" w:cs="Calibri Light"/>
          <w:color w:val="000000" w:themeColor="accent5"/>
        </w:rPr>
        <w:t>The Government’s own advice has shown that reversing the ban would not contribute to any additional supply within the next ten years</w:t>
      </w:r>
      <w:r w:rsidR="00CC754E">
        <w:rPr>
          <w:rFonts w:ascii="Calibri Light" w:eastAsia="Times New Roman" w:hAnsi="Calibri Light" w:cs="Calibri Light"/>
          <w:color w:val="000000" w:themeColor="accent5"/>
        </w:rPr>
        <w:t>. T</w:t>
      </w:r>
      <w:r w:rsidR="004F1A03">
        <w:rPr>
          <w:rFonts w:ascii="Calibri Light" w:eastAsia="Times New Roman" w:hAnsi="Calibri Light" w:cs="Calibri Light"/>
          <w:color w:val="000000" w:themeColor="accent5"/>
        </w:rPr>
        <w:t xml:space="preserve">his decision </w:t>
      </w:r>
      <w:r w:rsidR="00CC754E">
        <w:rPr>
          <w:rFonts w:ascii="Calibri Light" w:eastAsia="Times New Roman" w:hAnsi="Calibri Light" w:cs="Calibri Light"/>
          <w:color w:val="000000" w:themeColor="accent5"/>
        </w:rPr>
        <w:t>has been portrayed as being about</w:t>
      </w:r>
      <w:r w:rsidR="004F1A03">
        <w:rPr>
          <w:rFonts w:ascii="Calibri Light" w:eastAsia="Times New Roman" w:hAnsi="Calibri Light" w:cs="Calibri Light"/>
          <w:color w:val="000000" w:themeColor="accent5"/>
        </w:rPr>
        <w:t xml:space="preserve"> providing a stable transition over the short-to-medium term, but </w:t>
      </w:r>
      <w:r w:rsidR="00CC754E">
        <w:rPr>
          <w:rFonts w:ascii="Calibri Light" w:eastAsia="Times New Roman" w:hAnsi="Calibri Light" w:cs="Calibri Light"/>
          <w:color w:val="000000" w:themeColor="accent5"/>
        </w:rPr>
        <w:t xml:space="preserve">in </w:t>
      </w:r>
      <w:proofErr w:type="gramStart"/>
      <w:r w:rsidR="00CC754E">
        <w:rPr>
          <w:rFonts w:ascii="Calibri Light" w:eastAsia="Times New Roman" w:hAnsi="Calibri Light" w:cs="Calibri Light"/>
          <w:color w:val="000000" w:themeColor="accent5"/>
        </w:rPr>
        <w:t>reality</w:t>
      </w:r>
      <w:proofErr w:type="gramEnd"/>
      <w:r w:rsidR="004F1A03">
        <w:rPr>
          <w:rFonts w:ascii="Calibri Light" w:eastAsia="Times New Roman" w:hAnsi="Calibri Light" w:cs="Calibri Light"/>
          <w:color w:val="000000" w:themeColor="accent5"/>
        </w:rPr>
        <w:t xml:space="preserve"> </w:t>
      </w:r>
      <w:r w:rsidR="00CC754E">
        <w:rPr>
          <w:rFonts w:ascii="Calibri Light" w:eastAsia="Times New Roman" w:hAnsi="Calibri Light" w:cs="Calibri Light"/>
          <w:color w:val="000000" w:themeColor="accent5"/>
        </w:rPr>
        <w:t xml:space="preserve">it </w:t>
      </w:r>
      <w:r w:rsidR="004F1A03">
        <w:rPr>
          <w:rFonts w:ascii="Calibri Light" w:eastAsia="Times New Roman" w:hAnsi="Calibri Light" w:cs="Calibri Light"/>
          <w:color w:val="000000" w:themeColor="accent5"/>
        </w:rPr>
        <w:t xml:space="preserve">is </w:t>
      </w:r>
      <w:r w:rsidR="00CC754E">
        <w:rPr>
          <w:rFonts w:ascii="Calibri Light" w:eastAsia="Times New Roman" w:hAnsi="Calibri Light" w:cs="Calibri Light"/>
          <w:color w:val="000000" w:themeColor="accent5"/>
        </w:rPr>
        <w:t>an attempt to</w:t>
      </w:r>
      <w:r w:rsidR="004F1A03">
        <w:rPr>
          <w:rFonts w:ascii="Calibri Light" w:eastAsia="Times New Roman" w:hAnsi="Calibri Light" w:cs="Calibri Light"/>
          <w:color w:val="000000" w:themeColor="accent5"/>
        </w:rPr>
        <w:t xml:space="preserve"> </w:t>
      </w:r>
      <w:r w:rsidR="00CC754E">
        <w:rPr>
          <w:rFonts w:ascii="Calibri Light" w:eastAsia="Times New Roman" w:hAnsi="Calibri Light" w:cs="Calibri Light"/>
          <w:color w:val="000000" w:themeColor="accent5"/>
        </w:rPr>
        <w:t xml:space="preserve">extend </w:t>
      </w:r>
      <w:r w:rsidR="004F1A03">
        <w:rPr>
          <w:rFonts w:ascii="Calibri Light" w:eastAsia="Times New Roman" w:hAnsi="Calibri Light" w:cs="Calibri Light"/>
          <w:color w:val="000000" w:themeColor="accent5"/>
        </w:rPr>
        <w:t>our dependence on fossil fuels for another generation.</w:t>
      </w:r>
    </w:p>
    <w:p w14:paraId="1B569D9C" w14:textId="476E61DA" w:rsidR="00CD03B4" w:rsidRDefault="00C56B7A" w:rsidP="00483769">
      <w:pPr>
        <w:spacing w:line="276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 w:themeColor="accent5"/>
        </w:rPr>
        <w:t>Fossil fuels</w:t>
      </w:r>
      <w:r w:rsidRPr="00CD11AC">
        <w:rPr>
          <w:rFonts w:ascii="Calibri Light" w:eastAsia="Times New Roman" w:hAnsi="Calibri Light" w:cs="Calibri Light"/>
          <w:color w:val="000000" w:themeColor="accent5"/>
        </w:rPr>
        <w:t xml:space="preserve"> should not be used for baseline electricity generation where clear energy and alternative models are already being used and would be costly to re-introduce fossil fuel into energy transition</w:t>
      </w:r>
      <w:r>
        <w:rPr>
          <w:rFonts w:ascii="Calibri Light" w:eastAsia="Times New Roman" w:hAnsi="Calibri Light" w:cs="Calibri Light"/>
          <w:color w:val="000000" w:themeColor="accent5"/>
        </w:rPr>
        <w:t xml:space="preserve">. </w:t>
      </w:r>
      <w:r w:rsidR="00D401C9" w:rsidRPr="720269BE">
        <w:rPr>
          <w:rFonts w:ascii="Calibri Light" w:eastAsia="Times New Roman" w:hAnsi="Calibri Light" w:cs="Calibri Light"/>
          <w:color w:val="000000" w:themeColor="accent5"/>
        </w:rPr>
        <w:t>The Government’s priority should be on investing in a just transition to a low-carbon economy, through enabling</w:t>
      </w:r>
      <w:r w:rsidR="00F51BD8" w:rsidRPr="720269BE">
        <w:rPr>
          <w:rFonts w:ascii="Calibri Light" w:eastAsia="Times New Roman" w:hAnsi="Calibri Light" w:cs="Calibri Light"/>
          <w:color w:val="000000" w:themeColor="accent5"/>
        </w:rPr>
        <w:t xml:space="preserve"> renewable generation and energy storage at the home and community level. </w:t>
      </w:r>
      <w:r w:rsidR="00410B08" w:rsidRPr="720269BE">
        <w:rPr>
          <w:rFonts w:ascii="Calibri Light" w:eastAsia="Times New Roman" w:hAnsi="Calibri Light" w:cs="Calibri Light"/>
          <w:color w:val="000000" w:themeColor="accent5"/>
        </w:rPr>
        <w:t>Homes with electric hot water, heating, cooking and cars are, on average, much cheaper than fossil fuelled equivalents, even with upfront costs and finance included.</w:t>
      </w:r>
      <w:r w:rsidR="007F5468" w:rsidRPr="720269BE">
        <w:rPr>
          <w:rFonts w:ascii="Calibri Light" w:eastAsia="Times New Roman" w:hAnsi="Calibri Light" w:cs="Calibri Light"/>
          <w:color w:val="000000" w:themeColor="accent5"/>
        </w:rPr>
        <w:t xml:space="preserve"> </w:t>
      </w:r>
      <w:r w:rsidR="00CD03B4" w:rsidRPr="720269BE">
        <w:rPr>
          <w:rFonts w:ascii="Calibri Light" w:eastAsia="Times New Roman" w:hAnsi="Calibri Light" w:cs="Calibri Light"/>
          <w:color w:val="000000" w:themeColor="accent5"/>
        </w:rPr>
        <w:t xml:space="preserve">A more distributed energy grid would have the added advantage </w:t>
      </w:r>
      <w:r w:rsidR="704C9632" w:rsidRPr="704C9632">
        <w:rPr>
          <w:rFonts w:ascii="Calibri Light" w:eastAsia="Times New Roman" w:hAnsi="Calibri Light" w:cs="Calibri Light"/>
          <w:color w:val="000000" w:themeColor="accent5"/>
        </w:rPr>
        <w:t>of making</w:t>
      </w:r>
      <w:r w:rsidR="007F5468" w:rsidRPr="720269BE">
        <w:rPr>
          <w:rFonts w:ascii="Calibri Light" w:eastAsia="Times New Roman" w:hAnsi="Calibri Light" w:cs="Calibri Light"/>
          <w:color w:val="000000" w:themeColor="accent5"/>
        </w:rPr>
        <w:t xml:space="preserve"> communities more resilient against</w:t>
      </w:r>
      <w:r w:rsidR="00CD03B4" w:rsidRPr="720269BE">
        <w:rPr>
          <w:rFonts w:ascii="Calibri Light" w:eastAsia="Times New Roman" w:hAnsi="Calibri Light" w:cs="Calibri Light"/>
          <w:color w:val="000000" w:themeColor="accent5"/>
        </w:rPr>
        <w:t xml:space="preserve"> increasingly strong and more frequent weather events.</w:t>
      </w:r>
      <w:r w:rsidR="0034457D" w:rsidRPr="720269BE">
        <w:rPr>
          <w:rFonts w:ascii="Calibri Light" w:eastAsia="Times New Roman" w:hAnsi="Calibri Light" w:cs="Calibri Light"/>
          <w:color w:val="000000" w:themeColor="accent5"/>
        </w:rPr>
        <w:t xml:space="preserve"> This is an approach </w:t>
      </w:r>
      <w:r w:rsidR="131E6AF4" w:rsidRPr="131E6AF4">
        <w:rPr>
          <w:rFonts w:ascii="Calibri Light" w:eastAsia="Times New Roman" w:hAnsi="Calibri Light" w:cs="Calibri Light"/>
          <w:color w:val="000000" w:themeColor="accent5"/>
        </w:rPr>
        <w:t>that</w:t>
      </w:r>
      <w:r w:rsidR="0034457D" w:rsidRPr="720269BE">
        <w:rPr>
          <w:rFonts w:ascii="Calibri Light" w:eastAsia="Times New Roman" w:hAnsi="Calibri Light" w:cs="Calibri Light"/>
          <w:color w:val="000000" w:themeColor="accent5"/>
        </w:rPr>
        <w:t xml:space="preserve"> has the potential to be faster, more affordable, more equitable, and </w:t>
      </w:r>
      <w:r w:rsidR="0039098B" w:rsidRPr="720269BE">
        <w:rPr>
          <w:rFonts w:ascii="Calibri Light" w:eastAsia="Times New Roman" w:hAnsi="Calibri Light" w:cs="Calibri Light"/>
          <w:color w:val="000000" w:themeColor="accent5"/>
        </w:rPr>
        <w:t>do less damage to our environment.</w:t>
      </w:r>
    </w:p>
    <w:p w14:paraId="6C0978CB" w14:textId="4DA15370" w:rsidR="00B02059" w:rsidRDefault="00D81C5D" w:rsidP="00D81C5D">
      <w:pPr>
        <w:pStyle w:val="Heading3"/>
      </w:pPr>
      <w:r>
        <w:t xml:space="preserve">Other </w:t>
      </w:r>
      <w:r w:rsidR="00CD11AC">
        <w:t xml:space="preserve">aspects </w:t>
      </w:r>
      <w:r>
        <w:t>of the Bill</w:t>
      </w:r>
    </w:p>
    <w:p w14:paraId="353F8280" w14:textId="2A939474" w:rsidR="00812AA8" w:rsidRDefault="00753334" w:rsidP="00483769">
      <w:pPr>
        <w:spacing w:line="276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There are </w:t>
      </w:r>
      <w:r w:rsidR="006E3E37">
        <w:rPr>
          <w:rFonts w:ascii="Calibri Light" w:eastAsia="Times New Roman" w:hAnsi="Calibri Light" w:cs="Calibri Light"/>
          <w:color w:val="000000"/>
        </w:rPr>
        <w:t xml:space="preserve">several </w:t>
      </w:r>
      <w:r>
        <w:rPr>
          <w:rFonts w:ascii="Calibri Light" w:eastAsia="Times New Roman" w:hAnsi="Calibri Light" w:cs="Calibri Light"/>
          <w:color w:val="000000"/>
        </w:rPr>
        <w:t>other aspects of the Bill that we have concerns about:</w:t>
      </w:r>
    </w:p>
    <w:p w14:paraId="4B230D49" w14:textId="3937EBEB" w:rsidR="00812AA8" w:rsidRPr="00D81C5D" w:rsidRDefault="00753334" w:rsidP="00D81C5D">
      <w:pPr>
        <w:pStyle w:val="ListParagraph"/>
        <w:numPr>
          <w:ilvl w:val="0"/>
          <w:numId w:val="3"/>
        </w:numPr>
        <w:spacing w:line="276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We oppose c</w:t>
      </w:r>
      <w:r w:rsidR="00812AA8" w:rsidRPr="00417542">
        <w:rPr>
          <w:rFonts w:ascii="Calibri Light" w:eastAsia="Times New Roman" w:hAnsi="Calibri Light" w:cs="Calibri Light"/>
          <w:color w:val="000000"/>
        </w:rPr>
        <w:t>hanging the Act’s purpose statement to “promote” rather than “manage” prospecting</w:t>
      </w:r>
      <w:r w:rsidR="00964ACC" w:rsidRPr="00417542">
        <w:rPr>
          <w:rFonts w:ascii="Calibri Light" w:eastAsia="Times New Roman" w:hAnsi="Calibri Light" w:cs="Calibri Light"/>
          <w:color w:val="000000"/>
        </w:rPr>
        <w:t xml:space="preserve">, </w:t>
      </w:r>
      <w:r w:rsidR="00812AA8" w:rsidRPr="00417542">
        <w:rPr>
          <w:rFonts w:ascii="Calibri Light" w:eastAsia="Times New Roman" w:hAnsi="Calibri Light" w:cs="Calibri Light"/>
          <w:color w:val="000000"/>
        </w:rPr>
        <w:t>exploration and mining of Crown-owned minerals</w:t>
      </w:r>
      <w:r w:rsidR="00964ACC" w:rsidRPr="00417542">
        <w:rPr>
          <w:rFonts w:ascii="Calibri Light" w:eastAsia="Times New Roman" w:hAnsi="Calibri Light" w:cs="Calibri Light"/>
          <w:color w:val="000000"/>
        </w:rPr>
        <w:t>.</w:t>
      </w:r>
      <w:r w:rsidR="007C3CDF">
        <w:rPr>
          <w:rFonts w:ascii="Calibri Light" w:eastAsia="Times New Roman" w:hAnsi="Calibri Light" w:cs="Calibri Light"/>
          <w:color w:val="000000"/>
        </w:rPr>
        <w:t xml:space="preserve"> This would shift the balance towards short-term financial gain</w:t>
      </w:r>
      <w:r w:rsidR="008F4619">
        <w:rPr>
          <w:rFonts w:ascii="Calibri Light" w:eastAsia="Times New Roman" w:hAnsi="Calibri Light" w:cs="Calibri Light"/>
          <w:color w:val="000000"/>
        </w:rPr>
        <w:t xml:space="preserve">, and away from </w:t>
      </w:r>
      <w:r w:rsidR="007C3CDF">
        <w:rPr>
          <w:rFonts w:ascii="Calibri Light" w:eastAsia="Times New Roman" w:hAnsi="Calibri Light" w:cs="Calibri Light"/>
          <w:color w:val="000000"/>
        </w:rPr>
        <w:t xml:space="preserve">responsible management of natural resources </w:t>
      </w:r>
      <w:proofErr w:type="gramStart"/>
      <w:r w:rsidR="008F4619">
        <w:rPr>
          <w:rFonts w:ascii="Calibri Light" w:eastAsia="Times New Roman" w:hAnsi="Calibri Light" w:cs="Calibri Light"/>
          <w:color w:val="000000"/>
        </w:rPr>
        <w:t>taking into account</w:t>
      </w:r>
      <w:proofErr w:type="gramEnd"/>
      <w:r w:rsidR="008F4619">
        <w:rPr>
          <w:rFonts w:ascii="Calibri Light" w:eastAsia="Times New Roman" w:hAnsi="Calibri Light" w:cs="Calibri Light"/>
          <w:color w:val="000000"/>
        </w:rPr>
        <w:t xml:space="preserve"> all relevant factors (such as environmental ones).</w:t>
      </w:r>
      <w:r w:rsidR="00D81C5D">
        <w:rPr>
          <w:rFonts w:ascii="Calibri Light" w:eastAsia="Times New Roman" w:hAnsi="Calibri Light" w:cs="Calibri Light"/>
          <w:color w:val="000000"/>
        </w:rPr>
        <w:t xml:space="preserve"> This is especially true</w:t>
      </w:r>
      <w:r w:rsidR="007C3CDF" w:rsidRPr="00D81C5D">
        <w:rPr>
          <w:rFonts w:ascii="Calibri Light" w:eastAsia="Times New Roman" w:hAnsi="Calibri Light" w:cs="Calibri Light"/>
          <w:color w:val="000000"/>
        </w:rPr>
        <w:t xml:space="preserve"> given that decisions under the Act (such as establishing Government Policy Statements) require alignment with the purpose of the Act.</w:t>
      </w:r>
    </w:p>
    <w:p w14:paraId="47F682F8" w14:textId="77777777" w:rsidR="00DE79E8" w:rsidRPr="00DE79E8" w:rsidRDefault="00753334">
      <w:pPr>
        <w:pStyle w:val="ListParagraph"/>
        <w:numPr>
          <w:ilvl w:val="0"/>
          <w:numId w:val="3"/>
        </w:num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DE79E8">
        <w:rPr>
          <w:rFonts w:ascii="Calibri Light" w:eastAsia="Times New Roman" w:hAnsi="Calibri Light" w:cs="Calibri Light"/>
          <w:color w:val="000000" w:themeColor="accent5"/>
        </w:rPr>
        <w:t xml:space="preserve">We oppose introducing </w:t>
      </w:r>
      <w:r w:rsidR="00FA3FB6" w:rsidRPr="00DE79E8">
        <w:rPr>
          <w:rFonts w:ascii="Calibri Light" w:eastAsia="Times New Roman" w:hAnsi="Calibri Light" w:cs="Calibri Light"/>
          <w:color w:val="000000" w:themeColor="accent5"/>
        </w:rPr>
        <w:t>provisions for establishing Government Policy Statements</w:t>
      </w:r>
      <w:r w:rsidR="00B704D4" w:rsidRPr="00DE79E8">
        <w:rPr>
          <w:rFonts w:ascii="Calibri Light" w:eastAsia="Times New Roman" w:hAnsi="Calibri Light" w:cs="Calibri Light"/>
          <w:color w:val="000000" w:themeColor="accent5"/>
        </w:rPr>
        <w:t xml:space="preserve"> without also adding provisions for public consultation</w:t>
      </w:r>
      <w:r w:rsidR="003B1149" w:rsidRPr="00DE79E8">
        <w:rPr>
          <w:rFonts w:ascii="Calibri Light" w:eastAsia="Times New Roman" w:hAnsi="Calibri Light" w:cs="Calibri Light"/>
          <w:color w:val="000000" w:themeColor="accent5"/>
        </w:rPr>
        <w:t xml:space="preserve"> on them. This is contrary to good practice in developing policy and suggests an unwillingness to listen to the views of communities.</w:t>
      </w:r>
    </w:p>
    <w:p w14:paraId="490C87B5" w14:textId="3876FDE1" w:rsidR="7DC94006" w:rsidRPr="00DE79E8" w:rsidRDefault="00753334">
      <w:pPr>
        <w:pStyle w:val="ListParagraph"/>
        <w:numPr>
          <w:ilvl w:val="0"/>
          <w:numId w:val="3"/>
        </w:num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DE79E8">
        <w:rPr>
          <w:rFonts w:ascii="Calibri Light" w:eastAsia="Times New Roman" w:hAnsi="Calibri Light" w:cs="Calibri Light"/>
          <w:color w:val="000000"/>
        </w:rPr>
        <w:t>We oppose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 implement</w:t>
      </w:r>
      <w:r w:rsidRPr="00DE79E8">
        <w:rPr>
          <w:rFonts w:ascii="Calibri Light" w:eastAsia="Times New Roman" w:hAnsi="Calibri Light" w:cs="Calibri Light"/>
          <w:color w:val="000000"/>
        </w:rPr>
        <w:t>ing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 priority-in-time tendering </w:t>
      </w:r>
      <w:proofErr w:type="gramStart"/>
      <w:r w:rsidR="7DC94006" w:rsidRPr="00DE79E8">
        <w:rPr>
          <w:rFonts w:ascii="Calibri Light" w:eastAsia="Times New Roman" w:hAnsi="Calibri Light" w:cs="Calibri Light"/>
          <w:color w:val="000000"/>
        </w:rPr>
        <w:t xml:space="preserve">process, </w:t>
      </w:r>
      <w:r w:rsidRPr="00DE79E8">
        <w:rPr>
          <w:rFonts w:ascii="Calibri Light" w:eastAsia="Times New Roman" w:hAnsi="Calibri Light" w:cs="Calibri Light"/>
          <w:color w:val="000000"/>
        </w:rPr>
        <w:t>and</w:t>
      </w:r>
      <w:proofErr w:type="gramEnd"/>
      <w:r w:rsidRPr="00DE79E8">
        <w:rPr>
          <w:rFonts w:ascii="Calibri Light" w:eastAsia="Times New Roman" w:hAnsi="Calibri Light" w:cs="Calibri Light"/>
          <w:color w:val="000000"/>
        </w:rPr>
        <w:t xml:space="preserve"> recommend </w:t>
      </w:r>
      <w:r w:rsidR="7DC94006" w:rsidRPr="00DE79E8">
        <w:rPr>
          <w:rFonts w:ascii="Calibri Light" w:eastAsia="Times New Roman" w:hAnsi="Calibri Light" w:cs="Calibri Light"/>
          <w:color w:val="000000"/>
        </w:rPr>
        <w:t>keep</w:t>
      </w:r>
      <w:r w:rsidRPr="00DE79E8">
        <w:rPr>
          <w:rFonts w:ascii="Calibri Light" w:eastAsia="Times New Roman" w:hAnsi="Calibri Light" w:cs="Calibri Light"/>
          <w:color w:val="000000"/>
        </w:rPr>
        <w:t>ing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 only ‘Block Offer’ tendering. If </w:t>
      </w:r>
      <w:r w:rsidRPr="00DE79E8">
        <w:rPr>
          <w:rFonts w:ascii="Calibri Light" w:eastAsia="Times New Roman" w:hAnsi="Calibri Light" w:cs="Calibri Light"/>
          <w:color w:val="000000"/>
        </w:rPr>
        <w:t xml:space="preserve">a 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new process </w:t>
      </w:r>
      <w:r w:rsidRPr="00DE79E8">
        <w:rPr>
          <w:rFonts w:ascii="Calibri Light" w:eastAsia="Times New Roman" w:hAnsi="Calibri Light" w:cs="Calibri Light"/>
          <w:color w:val="000000"/>
        </w:rPr>
        <w:t xml:space="preserve">is 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adopted, ensure iwi and hapū are consulted as they </w:t>
      </w:r>
      <w:r w:rsidRPr="00DE79E8">
        <w:rPr>
          <w:rFonts w:ascii="Calibri Light" w:eastAsia="Times New Roman" w:hAnsi="Calibri Light" w:cs="Calibri Light"/>
          <w:color w:val="000000"/>
        </w:rPr>
        <w:t xml:space="preserve">currently 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are under </w:t>
      </w:r>
      <w:r w:rsidRPr="00DE79E8">
        <w:rPr>
          <w:rFonts w:ascii="Calibri Light" w:eastAsia="Times New Roman" w:hAnsi="Calibri Light" w:cs="Calibri Light"/>
          <w:color w:val="000000"/>
        </w:rPr>
        <w:t xml:space="preserve">the </w:t>
      </w:r>
      <w:r w:rsidR="7DC94006" w:rsidRPr="00DE79E8">
        <w:rPr>
          <w:rFonts w:ascii="Calibri Light" w:eastAsia="Times New Roman" w:hAnsi="Calibri Light" w:cs="Calibri Light"/>
          <w:color w:val="000000"/>
        </w:rPr>
        <w:t>block offer process</w:t>
      </w:r>
      <w:r w:rsidRPr="00DE79E8">
        <w:rPr>
          <w:rFonts w:ascii="Calibri Light" w:eastAsia="Times New Roman" w:hAnsi="Calibri Light" w:cs="Calibri Light"/>
          <w:color w:val="000000"/>
        </w:rPr>
        <w:t>.</w:t>
      </w:r>
    </w:p>
    <w:p w14:paraId="4A089518" w14:textId="71DB3220" w:rsidR="7DC94006" w:rsidRPr="00DE79E8" w:rsidRDefault="00753334" w:rsidP="7DC94006">
      <w:pPr>
        <w:pStyle w:val="ListParagraph"/>
        <w:numPr>
          <w:ilvl w:val="0"/>
          <w:numId w:val="3"/>
        </w:num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DE79E8">
        <w:rPr>
          <w:rFonts w:ascii="Calibri Light" w:eastAsia="Times New Roman" w:hAnsi="Calibri Light" w:cs="Calibri Light"/>
          <w:color w:val="000000"/>
        </w:rPr>
        <w:t>We oppose i</w:t>
      </w:r>
      <w:r w:rsidR="7DC94006" w:rsidRPr="00DE79E8">
        <w:rPr>
          <w:rFonts w:ascii="Calibri Light" w:eastAsia="Times New Roman" w:hAnsi="Calibri Light" w:cs="Calibri Light"/>
          <w:color w:val="000000"/>
        </w:rPr>
        <w:t>ncreasing the confidentiality period for prospective datasets</w:t>
      </w:r>
      <w:r w:rsidRPr="00DE79E8">
        <w:rPr>
          <w:rFonts w:ascii="Calibri Light" w:eastAsia="Times New Roman" w:hAnsi="Calibri Light" w:cs="Calibri Light"/>
          <w:color w:val="000000"/>
        </w:rPr>
        <w:t>.</w:t>
      </w:r>
    </w:p>
    <w:p w14:paraId="1B173198" w14:textId="048AC003" w:rsidR="7DC94006" w:rsidRPr="00DE79E8" w:rsidRDefault="006E3E37" w:rsidP="7DC94006">
      <w:pPr>
        <w:pStyle w:val="ListParagraph"/>
        <w:numPr>
          <w:ilvl w:val="0"/>
          <w:numId w:val="3"/>
        </w:numPr>
        <w:spacing w:line="276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W</w:t>
      </w:r>
      <w:r w:rsidR="00753334" w:rsidRPr="00DE79E8">
        <w:rPr>
          <w:rFonts w:ascii="Calibri Light" w:eastAsia="Times New Roman" w:hAnsi="Calibri Light" w:cs="Calibri Light"/>
          <w:color w:val="000000"/>
        </w:rPr>
        <w:t>e oppose a</w:t>
      </w:r>
      <w:r w:rsidR="7DC94006" w:rsidRPr="00DE79E8">
        <w:rPr>
          <w:rFonts w:ascii="Calibri Light" w:eastAsia="Times New Roman" w:hAnsi="Calibri Light" w:cs="Calibri Light"/>
          <w:color w:val="000000"/>
        </w:rPr>
        <w:t>mending the rules around decommissioning requirements, which should instead increase the financial security requiring and ensur</w:t>
      </w:r>
      <w:r w:rsidR="00753334" w:rsidRPr="00DE79E8">
        <w:rPr>
          <w:rFonts w:ascii="Calibri Light" w:eastAsia="Times New Roman" w:hAnsi="Calibri Light" w:cs="Calibri Light"/>
          <w:color w:val="000000"/>
        </w:rPr>
        <w:t>e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 trailing liability. </w:t>
      </w:r>
    </w:p>
    <w:p w14:paraId="078E7EDC" w14:textId="0CEE23B7" w:rsidR="7DC94006" w:rsidRPr="00DE79E8" w:rsidRDefault="00753334" w:rsidP="7DC94006">
      <w:pPr>
        <w:pStyle w:val="ListParagraph"/>
        <w:numPr>
          <w:ilvl w:val="0"/>
          <w:numId w:val="3"/>
        </w:numPr>
        <w:spacing w:line="276" w:lineRule="auto"/>
        <w:rPr>
          <w:rFonts w:ascii="Calibri Light" w:eastAsia="Times New Roman" w:hAnsi="Calibri Light" w:cs="Calibri Light"/>
          <w:color w:val="000000"/>
        </w:rPr>
      </w:pPr>
      <w:r w:rsidRPr="00DE79E8">
        <w:rPr>
          <w:rFonts w:ascii="Calibri Light" w:eastAsia="Times New Roman" w:hAnsi="Calibri Light" w:cs="Calibri Light"/>
          <w:color w:val="000000"/>
        </w:rPr>
        <w:t>We believe t</w:t>
      </w:r>
      <w:r w:rsidR="7DC94006" w:rsidRPr="00DE79E8">
        <w:rPr>
          <w:rFonts w:ascii="Calibri Light" w:eastAsia="Times New Roman" w:hAnsi="Calibri Light" w:cs="Calibri Light"/>
          <w:color w:val="000000"/>
        </w:rPr>
        <w:t xml:space="preserve">he short public consultation period is manifestly unfair to the </w:t>
      </w:r>
      <w:proofErr w:type="gramStart"/>
      <w:r w:rsidR="7DC94006" w:rsidRPr="00DE79E8">
        <w:rPr>
          <w:rFonts w:ascii="Calibri Light" w:eastAsia="Times New Roman" w:hAnsi="Calibri Light" w:cs="Calibri Light"/>
          <w:color w:val="000000"/>
        </w:rPr>
        <w:t>general public</w:t>
      </w:r>
      <w:proofErr w:type="gramEnd"/>
      <w:r w:rsidR="7DC94006" w:rsidRPr="00DE79E8">
        <w:rPr>
          <w:rFonts w:ascii="Calibri Light" w:eastAsia="Times New Roman" w:hAnsi="Calibri Light" w:cs="Calibri Light"/>
          <w:color w:val="000000"/>
        </w:rPr>
        <w:t xml:space="preserve"> and limits meaningful and deeper engagement on the proposal.</w:t>
      </w:r>
    </w:p>
    <w:p w14:paraId="3B99F698" w14:textId="45B2ECAB" w:rsidR="00072B82" w:rsidRPr="00483769" w:rsidRDefault="00072B82" w:rsidP="00483769">
      <w:pPr>
        <w:spacing w:line="276" w:lineRule="auto"/>
        <w:rPr>
          <w:rFonts w:ascii="Calibri Light" w:eastAsia="Times New Roman" w:hAnsi="Calibri Light" w:cs="Calibri Light"/>
          <w:color w:val="000000"/>
        </w:rPr>
      </w:pPr>
    </w:p>
    <w:p w14:paraId="52AB547F" w14:textId="77777777" w:rsidR="00483769" w:rsidRPr="00483769" w:rsidRDefault="00483769" w:rsidP="00801315">
      <w:pPr>
        <w:spacing w:line="276" w:lineRule="auto"/>
        <w:rPr>
          <w:rFonts w:ascii="Calibri Light" w:eastAsia="Times New Roman" w:hAnsi="Calibri Light" w:cs="Calibri Light"/>
          <w:color w:val="000000"/>
        </w:rPr>
      </w:pPr>
    </w:p>
    <w:p w14:paraId="3C198A60" w14:textId="77777777" w:rsidR="00801315" w:rsidRPr="00801315" w:rsidRDefault="00801315" w:rsidP="00801315">
      <w:pPr>
        <w:rPr>
          <w:lang w:val="mi-NZ"/>
        </w:rPr>
      </w:pPr>
    </w:p>
    <w:sectPr w:rsidR="00801315" w:rsidRPr="00801315" w:rsidSect="00801315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14B2" w14:textId="77777777" w:rsidR="001053E1" w:rsidRDefault="001053E1" w:rsidP="00801315">
      <w:r>
        <w:separator/>
      </w:r>
    </w:p>
  </w:endnote>
  <w:endnote w:type="continuationSeparator" w:id="0">
    <w:p w14:paraId="408834AD" w14:textId="77777777" w:rsidR="001053E1" w:rsidRDefault="001053E1" w:rsidP="00801315">
      <w:r>
        <w:continuationSeparator/>
      </w:r>
    </w:p>
  </w:endnote>
  <w:endnote w:type="continuationNotice" w:id="1">
    <w:p w14:paraId="3E74996E" w14:textId="77777777" w:rsidR="001053E1" w:rsidRDefault="001053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1898" w14:textId="2C9C1F10" w:rsidR="00801315" w:rsidRDefault="00102054" w:rsidP="00801315">
    <w:pPr>
      <w:pStyle w:val="Footer"/>
    </w:pPr>
    <w:r>
      <w:rPr>
        <w:noProof/>
        <w:lang w:eastAsia="en-NZ"/>
      </w:rPr>
      <w:pict w14:anchorId="5600E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428861" o:spid="_x0000_s1027" type="#_x0000_t75" style="position:absolute;margin-left:-1in;margin-top:705.9pt;width:595.5pt;height:64.3pt;z-index:-251658238;mso-position-horizontal-relative:margin;mso-position-vertical-relative:margin" o:allowincell="f">
          <v:imagedata r:id="rId1" o:title="Eco network" croptop="60533f"/>
          <w10:wrap type="topAndBottom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6920" w14:textId="77777777" w:rsidR="001053E1" w:rsidRDefault="001053E1" w:rsidP="00801315">
      <w:r>
        <w:separator/>
      </w:r>
    </w:p>
  </w:footnote>
  <w:footnote w:type="continuationSeparator" w:id="0">
    <w:p w14:paraId="66B23FD9" w14:textId="77777777" w:rsidR="001053E1" w:rsidRDefault="001053E1" w:rsidP="00801315">
      <w:r>
        <w:continuationSeparator/>
      </w:r>
    </w:p>
  </w:footnote>
  <w:footnote w:type="continuationNotice" w:id="1">
    <w:p w14:paraId="74BE161D" w14:textId="77777777" w:rsidR="001053E1" w:rsidRDefault="001053E1">
      <w:pPr>
        <w:spacing w:after="0"/>
      </w:pPr>
    </w:p>
  </w:footnote>
  <w:footnote w:id="2">
    <w:p w14:paraId="431E9A3A" w14:textId="7B167705" w:rsidR="0D650A43" w:rsidRPr="00455886" w:rsidRDefault="0D650A43" w:rsidP="005C0221">
      <w:pPr>
        <w:pStyle w:val="FootnoteText"/>
        <w:rPr>
          <w:color w:val="34979C"/>
        </w:rPr>
      </w:pPr>
      <w:r w:rsidRPr="0D650A43">
        <w:rPr>
          <w:rStyle w:val="FootnoteReference"/>
        </w:rPr>
        <w:footnoteRef/>
      </w:r>
      <w:r>
        <w:t xml:space="preserve"> </w:t>
      </w:r>
      <w:hyperlink r:id="rId1" w:history="1">
        <w:proofErr w:type="spellStart"/>
        <w:r w:rsidR="009C4158" w:rsidRPr="00455886">
          <w:rPr>
            <w:rStyle w:val="Hyperlink"/>
            <w:color w:val="34979C"/>
          </w:rPr>
          <w:t>FlexiWork</w:t>
        </w:r>
        <w:proofErr w:type="spellEnd"/>
        <w:r w:rsidR="009C4158" w:rsidRPr="00455886">
          <w:rPr>
            <w:rStyle w:val="Hyperlink"/>
            <w:color w:val="34979C"/>
          </w:rPr>
          <w:t>: Reducing consumer emissions with greater teleworking</w:t>
        </w:r>
        <w:r w:rsidR="001B3C05" w:rsidRPr="00455886">
          <w:rPr>
            <w:rStyle w:val="Hyperlink"/>
            <w:color w:val="34979C"/>
          </w:rPr>
          <w:t xml:space="preserve"> | </w:t>
        </w:r>
        <w:r w:rsidR="00C7136A" w:rsidRPr="00455886">
          <w:rPr>
            <w:rStyle w:val="Hyperlink"/>
            <w:color w:val="34979C"/>
          </w:rPr>
          <w:t>Government Economics Network</w:t>
        </w:r>
      </w:hyperlink>
      <w:r w:rsidR="009C4158" w:rsidRPr="00455886">
        <w:rPr>
          <w:color w:val="34979C"/>
        </w:rPr>
        <w:t xml:space="preserve"> </w:t>
      </w:r>
    </w:p>
  </w:footnote>
  <w:footnote w:id="3">
    <w:p w14:paraId="48FFDAA1" w14:textId="1ECFDFDC" w:rsidR="0D650A43" w:rsidRPr="00455886" w:rsidRDefault="0D650A43" w:rsidP="005C0221">
      <w:pPr>
        <w:pStyle w:val="FootnoteText"/>
        <w:rPr>
          <w:color w:val="34979C"/>
        </w:rPr>
      </w:pPr>
      <w:r w:rsidRPr="0D650A43">
        <w:rPr>
          <w:rStyle w:val="FootnoteReference"/>
        </w:rPr>
        <w:footnoteRef/>
      </w:r>
      <w:r>
        <w:t xml:space="preserve"> </w:t>
      </w:r>
      <w:hyperlink r:id="rId2" w:history="1">
        <w:r w:rsidRPr="00455886">
          <w:rPr>
            <w:rStyle w:val="Hyperlink"/>
            <w:color w:val="34979C"/>
          </w:rPr>
          <w:t xml:space="preserve">The carbon footprint of working from home | </w:t>
        </w:r>
        <w:proofErr w:type="spellStart"/>
        <w:r w:rsidRPr="00455886">
          <w:rPr>
            <w:rStyle w:val="Hyperlink"/>
            <w:color w:val="34979C"/>
          </w:rPr>
          <w:t>thinkst</w:t>
        </w:r>
        <w:r w:rsidRPr="00455886">
          <w:rPr>
            <w:rStyle w:val="Hyperlink"/>
            <w:color w:val="34979C"/>
          </w:rPr>
          <w:t>e</w:t>
        </w:r>
        <w:r w:rsidRPr="00455886">
          <w:rPr>
            <w:rStyle w:val="Hyperlink"/>
            <w:color w:val="34979C"/>
          </w:rPr>
          <w:t>p-anz</w:t>
        </w:r>
        <w:proofErr w:type="spellEnd"/>
      </w:hyperlink>
    </w:p>
  </w:footnote>
  <w:footnote w:id="4">
    <w:p w14:paraId="0E77A93C" w14:textId="7987091D" w:rsidR="0D650A43" w:rsidRDefault="0D650A43" w:rsidP="005C0221">
      <w:pPr>
        <w:pStyle w:val="FootnoteText"/>
      </w:pPr>
      <w:r w:rsidRPr="0D650A43">
        <w:rPr>
          <w:rStyle w:val="FootnoteReference"/>
        </w:rPr>
        <w:footnoteRef/>
      </w:r>
      <w:r>
        <w:t xml:space="preserve"> </w:t>
      </w:r>
      <w:hyperlink r:id="rId3" w:history="1">
        <w:r w:rsidRPr="00455886">
          <w:rPr>
            <w:rStyle w:val="Hyperlink"/>
            <w:color w:val="34979C"/>
          </w:rPr>
          <w:t xml:space="preserve">The importance of "off-peak" </w:t>
        </w:r>
        <w:r w:rsidR="001B3C05" w:rsidRPr="00455886">
          <w:rPr>
            <w:rStyle w:val="Hyperlink"/>
            <w:color w:val="34979C"/>
          </w:rPr>
          <w:t>|</w:t>
        </w:r>
        <w:r w:rsidRPr="00455886">
          <w:rPr>
            <w:rStyle w:val="Hyperlink"/>
            <w:color w:val="34979C"/>
          </w:rPr>
          <w:t xml:space="preserve"> Greater Auckland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D383" w14:textId="77777777" w:rsidR="00360BDE" w:rsidRDefault="00102054" w:rsidP="00801315">
    <w:pPr>
      <w:pStyle w:val="Header"/>
    </w:pPr>
    <w:r>
      <w:rPr>
        <w:noProof/>
        <w:lang w:eastAsia="en-NZ"/>
      </w:rPr>
      <w:pict w14:anchorId="5E5DF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428860" o:spid="_x0000_s1026" type="#_x0000_t75" style="position:absolute;margin-left:0;margin-top:0;width:595.5pt;height:842.25pt;z-index:-251658239;mso-position-horizontal:center;mso-position-horizontal-relative:margin;mso-position-vertical:center;mso-position-vertical-relative:margin" o:allowincell="f">
          <v:imagedata r:id="rId1" o:title="Eco ne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AAC9" w14:textId="77777777" w:rsidR="00360BDE" w:rsidRDefault="00102054" w:rsidP="00801315">
    <w:pPr>
      <w:pStyle w:val="Header"/>
    </w:pPr>
    <w:r>
      <w:rPr>
        <w:noProof/>
        <w:lang w:eastAsia="en-NZ"/>
      </w:rPr>
      <w:pict w14:anchorId="7C182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428859" o:spid="_x0000_s1025" type="#_x0000_t75" style="position:absolute;margin-left:-72.15pt;margin-top:-73.2pt;width:595.5pt;height:842.25pt;z-index:-251658240;mso-position-horizontal-relative:margin;mso-position-vertical-relative:margin" o:allowincell="f">
          <v:imagedata r:id="rId1" o:title="Eco ne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9343F"/>
    <w:multiLevelType w:val="hybridMultilevel"/>
    <w:tmpl w:val="118A2E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231A"/>
    <w:multiLevelType w:val="multilevel"/>
    <w:tmpl w:val="970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F5CE5"/>
    <w:multiLevelType w:val="hybridMultilevel"/>
    <w:tmpl w:val="6876F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5232">
    <w:abstractNumId w:val="1"/>
  </w:num>
  <w:num w:numId="2" w16cid:durableId="1669406884">
    <w:abstractNumId w:val="2"/>
  </w:num>
  <w:num w:numId="3" w16cid:durableId="88552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15"/>
    <w:rsid w:val="00016C1A"/>
    <w:rsid w:val="00023418"/>
    <w:rsid w:val="00034169"/>
    <w:rsid w:val="00053FD8"/>
    <w:rsid w:val="00072B82"/>
    <w:rsid w:val="00073C37"/>
    <w:rsid w:val="000F1B76"/>
    <w:rsid w:val="001053E1"/>
    <w:rsid w:val="001111A5"/>
    <w:rsid w:val="00113542"/>
    <w:rsid w:val="00113DE9"/>
    <w:rsid w:val="0012245D"/>
    <w:rsid w:val="00141CAA"/>
    <w:rsid w:val="001429C4"/>
    <w:rsid w:val="001507E8"/>
    <w:rsid w:val="001A7BA8"/>
    <w:rsid w:val="001B0727"/>
    <w:rsid w:val="001B3C05"/>
    <w:rsid w:val="001C2C8D"/>
    <w:rsid w:val="001F1302"/>
    <w:rsid w:val="002054C7"/>
    <w:rsid w:val="00210374"/>
    <w:rsid w:val="0026191F"/>
    <w:rsid w:val="0027424F"/>
    <w:rsid w:val="002778F2"/>
    <w:rsid w:val="00292ACF"/>
    <w:rsid w:val="00292CB2"/>
    <w:rsid w:val="002D7D0A"/>
    <w:rsid w:val="002E28F7"/>
    <w:rsid w:val="00302A23"/>
    <w:rsid w:val="00314DAD"/>
    <w:rsid w:val="00327AB3"/>
    <w:rsid w:val="003326B7"/>
    <w:rsid w:val="00340EBD"/>
    <w:rsid w:val="0034457D"/>
    <w:rsid w:val="00360BDE"/>
    <w:rsid w:val="003635C9"/>
    <w:rsid w:val="00384496"/>
    <w:rsid w:val="0039098B"/>
    <w:rsid w:val="00391E51"/>
    <w:rsid w:val="003A313F"/>
    <w:rsid w:val="003B1149"/>
    <w:rsid w:val="003F1300"/>
    <w:rsid w:val="003F21E6"/>
    <w:rsid w:val="003F558B"/>
    <w:rsid w:val="00404A72"/>
    <w:rsid w:val="00410B08"/>
    <w:rsid w:val="00417542"/>
    <w:rsid w:val="004314C2"/>
    <w:rsid w:val="00455886"/>
    <w:rsid w:val="00483769"/>
    <w:rsid w:val="0049073A"/>
    <w:rsid w:val="004952B0"/>
    <w:rsid w:val="004C5CC2"/>
    <w:rsid w:val="004C644D"/>
    <w:rsid w:val="004C7BDB"/>
    <w:rsid w:val="004D4D48"/>
    <w:rsid w:val="004D6ED8"/>
    <w:rsid w:val="004F1A03"/>
    <w:rsid w:val="004F42AB"/>
    <w:rsid w:val="004F4755"/>
    <w:rsid w:val="00502A81"/>
    <w:rsid w:val="005735E7"/>
    <w:rsid w:val="005C0221"/>
    <w:rsid w:val="005C35A1"/>
    <w:rsid w:val="00633FAF"/>
    <w:rsid w:val="00673B6A"/>
    <w:rsid w:val="006767E6"/>
    <w:rsid w:val="00677137"/>
    <w:rsid w:val="006E3E37"/>
    <w:rsid w:val="007108A6"/>
    <w:rsid w:val="00753334"/>
    <w:rsid w:val="00772E2A"/>
    <w:rsid w:val="00773B7B"/>
    <w:rsid w:val="007C3CDF"/>
    <w:rsid w:val="007E4E17"/>
    <w:rsid w:val="007F5468"/>
    <w:rsid w:val="00801315"/>
    <w:rsid w:val="00812AA8"/>
    <w:rsid w:val="00833E1C"/>
    <w:rsid w:val="008A0DA4"/>
    <w:rsid w:val="008D431B"/>
    <w:rsid w:val="008F4619"/>
    <w:rsid w:val="008F46FB"/>
    <w:rsid w:val="009247E3"/>
    <w:rsid w:val="00926486"/>
    <w:rsid w:val="0093042E"/>
    <w:rsid w:val="00964ACC"/>
    <w:rsid w:val="00974AAF"/>
    <w:rsid w:val="009944D3"/>
    <w:rsid w:val="009B1198"/>
    <w:rsid w:val="009C4158"/>
    <w:rsid w:val="009C61C1"/>
    <w:rsid w:val="00A53BF8"/>
    <w:rsid w:val="00A65A46"/>
    <w:rsid w:val="00B02059"/>
    <w:rsid w:val="00B2773B"/>
    <w:rsid w:val="00B47D19"/>
    <w:rsid w:val="00B63FB5"/>
    <w:rsid w:val="00B704D4"/>
    <w:rsid w:val="00BC79C9"/>
    <w:rsid w:val="00C030BE"/>
    <w:rsid w:val="00C51B13"/>
    <w:rsid w:val="00C56B7A"/>
    <w:rsid w:val="00C62ED3"/>
    <w:rsid w:val="00C7136A"/>
    <w:rsid w:val="00CC754E"/>
    <w:rsid w:val="00CD03B4"/>
    <w:rsid w:val="00CD11AC"/>
    <w:rsid w:val="00CD2F5B"/>
    <w:rsid w:val="00CE4680"/>
    <w:rsid w:val="00D401C9"/>
    <w:rsid w:val="00D73E61"/>
    <w:rsid w:val="00D7465A"/>
    <w:rsid w:val="00D81194"/>
    <w:rsid w:val="00D81C5D"/>
    <w:rsid w:val="00D83357"/>
    <w:rsid w:val="00D94694"/>
    <w:rsid w:val="00D946B0"/>
    <w:rsid w:val="00DA0D32"/>
    <w:rsid w:val="00DD2182"/>
    <w:rsid w:val="00DE79E8"/>
    <w:rsid w:val="00DF4499"/>
    <w:rsid w:val="00E15641"/>
    <w:rsid w:val="00E23352"/>
    <w:rsid w:val="00E37DD2"/>
    <w:rsid w:val="00E455AA"/>
    <w:rsid w:val="00E54FB1"/>
    <w:rsid w:val="00E67A8C"/>
    <w:rsid w:val="00E907C9"/>
    <w:rsid w:val="00E95372"/>
    <w:rsid w:val="00E96E41"/>
    <w:rsid w:val="00EB357C"/>
    <w:rsid w:val="00ED1D94"/>
    <w:rsid w:val="00F20293"/>
    <w:rsid w:val="00F51BD8"/>
    <w:rsid w:val="00F95707"/>
    <w:rsid w:val="00FA3FB6"/>
    <w:rsid w:val="00FB5B54"/>
    <w:rsid w:val="00FC2DF8"/>
    <w:rsid w:val="00FD0C89"/>
    <w:rsid w:val="00FD7CD3"/>
    <w:rsid w:val="00FF0D4D"/>
    <w:rsid w:val="0D650A43"/>
    <w:rsid w:val="131E6AF4"/>
    <w:rsid w:val="437CAA78"/>
    <w:rsid w:val="5C1A3CA6"/>
    <w:rsid w:val="704C9632"/>
    <w:rsid w:val="720269BE"/>
    <w:rsid w:val="7DC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6EC09"/>
  <w15:chartTrackingRefBased/>
  <w15:docId w15:val="{2F62F63E-17F2-4EDD-A9F1-7F3E4999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15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315"/>
    <w:pPr>
      <w:outlineLvl w:val="0"/>
    </w:pPr>
    <w:rPr>
      <w:b/>
      <w:color w:val="00ADE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315"/>
    <w:pPr>
      <w:spacing w:before="360"/>
      <w:outlineLvl w:val="1"/>
    </w:pPr>
    <w:rPr>
      <w:b/>
      <w:color w:val="34979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315"/>
    <w:pPr>
      <w:keepNext/>
      <w:keepLines/>
      <w:spacing w:before="200"/>
      <w:outlineLvl w:val="2"/>
    </w:pPr>
    <w:rPr>
      <w:rFonts w:eastAsia="Times New Roman"/>
      <w:bCs/>
      <w:i/>
      <w:iCs/>
      <w:color w:val="34979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01315"/>
    <w:rPr>
      <w:b/>
      <w:color w:val="34979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60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DE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01315"/>
    <w:rPr>
      <w:bCs/>
      <w:color w:val="34979C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315"/>
    <w:rPr>
      <w:bCs/>
      <w:color w:val="34979C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1315"/>
    <w:rPr>
      <w:b/>
      <w:color w:val="00ADE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1315"/>
    <w:rPr>
      <w:rFonts w:eastAsia="Times New Roman"/>
      <w:bCs/>
      <w:i/>
      <w:iCs/>
      <w:color w:val="34979C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315"/>
    <w:pPr>
      <w:numPr>
        <w:ilvl w:val="1"/>
      </w:numPr>
      <w:spacing w:after="160" w:line="259" w:lineRule="auto"/>
    </w:pPr>
    <w:rPr>
      <w:rFonts w:eastAsia="Yu Mincho" w:cs="Arial"/>
      <w:color w:val="34979C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1315"/>
    <w:rPr>
      <w:rFonts w:eastAsia="Yu Mincho" w:cs="Arial"/>
      <w:color w:val="34979C"/>
      <w:spacing w:val="15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B2773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10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374"/>
  </w:style>
  <w:style w:type="character" w:styleId="CommentReference">
    <w:name w:val="annotation reference"/>
    <w:basedOn w:val="DefaultParagraphFont"/>
    <w:uiPriority w:val="99"/>
    <w:semiHidden/>
    <w:unhideWhenUsed/>
    <w:rsid w:val="00210374"/>
    <w:rPr>
      <w:sz w:val="16"/>
      <w:szCs w:val="16"/>
    </w:rPr>
  </w:style>
  <w:style w:type="paragraph" w:styleId="Revision">
    <w:name w:val="Revision"/>
    <w:hidden/>
    <w:uiPriority w:val="99"/>
    <w:semiHidden/>
    <w:rsid w:val="00327AB3"/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35C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reaterauckland.org.nz/2010/05/16/the-importance-of-off-peak/" TargetMode="External"/><Relationship Id="rId2" Type="http://schemas.openxmlformats.org/officeDocument/2006/relationships/hyperlink" Target="https://www.thinkstep-anz.com/resrc/news/the-carbon-benefits-of-working-from-home/" TargetMode="External"/><Relationship Id="rId1" Type="http://schemas.openxmlformats.org/officeDocument/2006/relationships/hyperlink" Target="https://gen.org.nz/wp/wp-content/uploads/2021/03/GEN2021_Essay_Flexiwork_Essay_Rosie_Collins_finalv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ng\Applications%20-%20Common\Templates%202007\PSA%20Templates\Network%20Eco.dotx" TargetMode="External"/></Relationships>
</file>

<file path=word/theme/theme1.xml><?xml version="1.0" encoding="utf-8"?>
<a:theme xmlns:a="http://schemas.openxmlformats.org/drawingml/2006/main" name="Office Theme">
  <a:themeElements>
    <a:clrScheme name="PSA Branded colours">
      <a:dk1>
        <a:sysClr val="windowText" lastClr="000000"/>
      </a:dk1>
      <a:lt1>
        <a:sysClr val="window" lastClr="FFFFFF"/>
      </a:lt1>
      <a:dk2>
        <a:srgbClr val="FF0000"/>
      </a:dk2>
      <a:lt2>
        <a:srgbClr val="EEECE1"/>
      </a:lt2>
      <a:accent1>
        <a:srgbClr val="FF0000"/>
      </a:accent1>
      <a:accent2>
        <a:srgbClr val="FFCC00"/>
      </a:accent2>
      <a:accent3>
        <a:srgbClr val="FF9900"/>
      </a:accent3>
      <a:accent4>
        <a:srgbClr val="990000"/>
      </a:accent4>
      <a:accent5>
        <a:srgbClr val="00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DC4C-0852-45D5-B2D4-8E443A8F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Network Eco.dotx</Template>
  <TotalTime>33</TotalTime>
  <Pages>1</Pages>
  <Words>924</Words>
  <Characters>5272</Characters>
  <Application>Microsoft Office Word</Application>
  <DocSecurity>4</DocSecurity>
  <Lines>43</Lines>
  <Paragraphs>12</Paragraphs>
  <ScaleCrop>false</ScaleCrop>
  <Company/>
  <LinksUpToDate>false</LinksUpToDate>
  <CharactersWithSpaces>6184</CharactersWithSpaces>
  <SharedDoc>false</SharedDoc>
  <HLinks>
    <vt:vector size="18" baseType="variant">
      <vt:variant>
        <vt:i4>917524</vt:i4>
      </vt:variant>
      <vt:variant>
        <vt:i4>6</vt:i4>
      </vt:variant>
      <vt:variant>
        <vt:i4>0</vt:i4>
      </vt:variant>
      <vt:variant>
        <vt:i4>5</vt:i4>
      </vt:variant>
      <vt:variant>
        <vt:lpwstr>https://www.greaterauckland.org.nz/2010/05/16/the-importance-of-off-peak/</vt:lpwstr>
      </vt:variant>
      <vt:variant>
        <vt:lpwstr/>
      </vt:variant>
      <vt:variant>
        <vt:i4>3342379</vt:i4>
      </vt:variant>
      <vt:variant>
        <vt:i4>3</vt:i4>
      </vt:variant>
      <vt:variant>
        <vt:i4>0</vt:i4>
      </vt:variant>
      <vt:variant>
        <vt:i4>5</vt:i4>
      </vt:variant>
      <vt:variant>
        <vt:lpwstr>https://www.thinkstep-anz.com/resrc/news/the-carbon-benefits-of-working-from-home/</vt:lpwstr>
      </vt:variant>
      <vt:variant>
        <vt:lpwstr/>
      </vt:variant>
      <vt:variant>
        <vt:i4>524305</vt:i4>
      </vt:variant>
      <vt:variant>
        <vt:i4>0</vt:i4>
      </vt:variant>
      <vt:variant>
        <vt:i4>0</vt:i4>
      </vt:variant>
      <vt:variant>
        <vt:i4>5</vt:i4>
      </vt:variant>
      <vt:variant>
        <vt:lpwstr>https://gen.org.nz/wp/wp-content/uploads/2021/03/GEN2021_Essay_Flexiwork_Essay_Rosie_Collins_finalv2.pdf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McCauley</dc:creator>
  <cp:keywords/>
  <dc:description/>
  <cp:lastModifiedBy>Guest User</cp:lastModifiedBy>
  <cp:revision>76</cp:revision>
  <dcterms:created xsi:type="dcterms:W3CDTF">2024-10-01T14:07:00Z</dcterms:created>
  <dcterms:modified xsi:type="dcterms:W3CDTF">2024-10-01T03:37:00Z</dcterms:modified>
</cp:coreProperties>
</file>