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7141A" w14:textId="77777777" w:rsidR="002F2966" w:rsidRDefault="002F2966" w:rsidP="008F6F42">
      <w:pPr>
        <w:pStyle w:val="Title"/>
        <w:rPr>
          <w:sz w:val="48"/>
          <w:szCs w:val="48"/>
        </w:rPr>
      </w:pPr>
    </w:p>
    <w:p w14:paraId="11FD5066" w14:textId="77777777" w:rsidR="002F2966" w:rsidRDefault="002F2966" w:rsidP="008F6F42">
      <w:pPr>
        <w:pStyle w:val="Title"/>
        <w:rPr>
          <w:sz w:val="48"/>
          <w:szCs w:val="48"/>
        </w:rPr>
      </w:pPr>
    </w:p>
    <w:p w14:paraId="7395A1D0" w14:textId="77777777" w:rsidR="002F2966" w:rsidRDefault="002F2966" w:rsidP="008F6F42">
      <w:pPr>
        <w:pStyle w:val="Title"/>
        <w:rPr>
          <w:sz w:val="48"/>
          <w:szCs w:val="48"/>
        </w:rPr>
      </w:pPr>
    </w:p>
    <w:p w14:paraId="5C6F614C" w14:textId="77777777" w:rsidR="002F2966" w:rsidRDefault="002F2966" w:rsidP="008F6F42">
      <w:pPr>
        <w:pStyle w:val="Title"/>
        <w:rPr>
          <w:sz w:val="48"/>
          <w:szCs w:val="48"/>
        </w:rPr>
      </w:pPr>
    </w:p>
    <w:p w14:paraId="22CAA91F" w14:textId="77777777" w:rsidR="002F2966" w:rsidRDefault="002F2966" w:rsidP="008F6F42">
      <w:pPr>
        <w:pStyle w:val="Title"/>
        <w:rPr>
          <w:sz w:val="32"/>
          <w:szCs w:val="32"/>
        </w:rPr>
      </w:pPr>
    </w:p>
    <w:p w14:paraId="18AA9094" w14:textId="63193B30" w:rsidR="008F6F42" w:rsidRPr="00DD08C4" w:rsidRDefault="008F6F42" w:rsidP="002F2966">
      <w:pPr>
        <w:pStyle w:val="Title"/>
        <w:rPr>
          <w:rFonts w:ascii="Calibri Light" w:hAnsi="Calibri Light" w:cs="Calibri Light"/>
          <w:color w:val="677ABC"/>
          <w:sz w:val="36"/>
          <w:szCs w:val="36"/>
        </w:rPr>
      </w:pPr>
      <w:r w:rsidRPr="00DD08C4">
        <w:rPr>
          <w:rFonts w:ascii="Calibri Light" w:hAnsi="Calibri Light" w:cs="Calibri Light"/>
          <w:color w:val="677ABC"/>
          <w:sz w:val="36"/>
          <w:szCs w:val="36"/>
        </w:rPr>
        <w:t xml:space="preserve">Submission on </w:t>
      </w:r>
      <w:r w:rsidRPr="00DD08C4">
        <w:rPr>
          <w:rFonts w:ascii="Calibri Light" w:hAnsi="Calibri Light" w:cs="Calibri Light"/>
          <w:i/>
          <w:iCs/>
          <w:color w:val="677ABC"/>
          <w:sz w:val="36"/>
          <w:szCs w:val="36"/>
        </w:rPr>
        <w:t>Ia Tangata – A review of the protections in the Human Rights Act 1993 for people who are transgender, people who are non-binary and people who have an innate variation of sex characteristics: Issues Paper</w:t>
      </w:r>
    </w:p>
    <w:p w14:paraId="6279300A" w14:textId="14B83842" w:rsidR="008F6F42" w:rsidRPr="00DD08C4" w:rsidRDefault="008F6F42" w:rsidP="00DD08C4">
      <w:pPr>
        <w:pStyle w:val="Heading1"/>
      </w:pPr>
      <w:r w:rsidRPr="00DD08C4">
        <w:t>About the PSA and Out@PSA</w:t>
      </w:r>
    </w:p>
    <w:p w14:paraId="2F325E4E" w14:textId="130BF3F0" w:rsidR="008F6F42" w:rsidRDefault="008F6F42" w:rsidP="00047F40">
      <w:pPr>
        <w:pStyle w:val="BodyCopy"/>
      </w:pPr>
      <w:r>
        <w:t xml:space="preserve">The New Zealand Public Service Association Te Pūkenga Here Tikanga Mahi (the PSA) is the largest trade union in New Zealand with over 95,000 members.  We are a democratic and bicultural organisation representing people working in the </w:t>
      </w:r>
      <w:r w:rsidR="0059092E">
        <w:t>p</w:t>
      </w:r>
      <w:r>
        <w:t xml:space="preserve">ublic </w:t>
      </w:r>
      <w:r w:rsidR="0059092E">
        <w:t>s</w:t>
      </w:r>
      <w:r>
        <w:t>ervice</w:t>
      </w:r>
      <w:r w:rsidR="00411D6D">
        <w:t>;</w:t>
      </w:r>
      <w:r>
        <w:t xml:space="preserve"> </w:t>
      </w:r>
      <w:r w:rsidR="0059092E">
        <w:t>C</w:t>
      </w:r>
      <w:r>
        <w:t>rown agents</w:t>
      </w:r>
      <w:r w:rsidR="00047F40">
        <w:t xml:space="preserve"> and other</w:t>
      </w:r>
      <w:r>
        <w:t xml:space="preserve"> </w:t>
      </w:r>
      <w:r w:rsidR="0059092E">
        <w:t>C</w:t>
      </w:r>
      <w:r>
        <w:t>rown entities</w:t>
      </w:r>
      <w:r w:rsidR="00047F40">
        <w:t>;</w:t>
      </w:r>
      <w:r>
        <w:t xml:space="preserve"> state owned enterprises; local government; tertiary education institutions; and non-governmental organisations working in the health, social services and community sectors. </w:t>
      </w:r>
    </w:p>
    <w:p w14:paraId="6AB35B04" w14:textId="6119DEEC" w:rsidR="001D5EF7" w:rsidRPr="001D5EF7" w:rsidRDefault="008F6F42" w:rsidP="001D5EF7">
      <w:pPr>
        <w:pStyle w:val="BodyCopy"/>
        <w:rPr>
          <w:b/>
          <w:bCs/>
        </w:rPr>
      </w:pPr>
      <w:r>
        <w:t xml:space="preserve">Out@PSA is the PSA’s network representing </w:t>
      </w:r>
      <w:r w:rsidR="0078251B">
        <w:t>over 3,100</w:t>
      </w:r>
      <w:r w:rsidR="00C7049F">
        <w:t xml:space="preserve"> </w:t>
      </w:r>
      <w:r>
        <w:t>LGBTQIA+ members</w:t>
      </w:r>
      <w:r w:rsidR="00C7049F">
        <w:t xml:space="preserve"> across the PSA’s membership.</w:t>
      </w:r>
      <w:r w:rsidR="00B37A3B">
        <w:t xml:space="preserve"> It </w:t>
      </w:r>
      <w:r w:rsidR="001D5EF7">
        <w:t xml:space="preserve">represents the interests of LGBTQIA+ workers and </w:t>
      </w:r>
      <w:r w:rsidR="001D5EF7" w:rsidRPr="001D5EF7">
        <w:t>aims to promote respectful, diverse and inclusive workplaces and public services</w:t>
      </w:r>
    </w:p>
    <w:p w14:paraId="301E4A77" w14:textId="77777777" w:rsidR="008F6F42" w:rsidRDefault="008F6F42" w:rsidP="00DD08C4">
      <w:pPr>
        <w:pStyle w:val="Heading1"/>
      </w:pPr>
      <w:r>
        <w:t>About this submission</w:t>
      </w:r>
    </w:p>
    <w:p w14:paraId="2018551D" w14:textId="19CB1FAD" w:rsidR="001D181B" w:rsidRDefault="00C7049F" w:rsidP="00C7049F">
      <w:pPr>
        <w:pStyle w:val="BodyCopy"/>
      </w:pPr>
      <w:r>
        <w:t xml:space="preserve">This submission was developed with input from Out@PSA’s </w:t>
      </w:r>
      <w:r w:rsidR="0078251B">
        <w:t xml:space="preserve">democratically elected </w:t>
      </w:r>
      <w:r>
        <w:t>national committee</w:t>
      </w:r>
      <w:r w:rsidR="00AF581C">
        <w:t>, drawing on their views and experiences</w:t>
      </w:r>
      <w:r>
        <w:t>.</w:t>
      </w:r>
      <w:r w:rsidR="00401B87">
        <w:t xml:space="preserve"> It </w:t>
      </w:r>
      <w:r w:rsidR="001D181B">
        <w:t>is</w:t>
      </w:r>
      <w:r w:rsidR="0078251B">
        <w:t xml:space="preserve"> also</w:t>
      </w:r>
      <w:r w:rsidR="001D181B">
        <w:t xml:space="preserve"> informed by the PSA’s policy on inclusion for transgender people and gender minorities, which (among other things):</w:t>
      </w:r>
    </w:p>
    <w:p w14:paraId="2BA8C666" w14:textId="36740EAD" w:rsidR="007E5C15" w:rsidRPr="002D5B55" w:rsidRDefault="007E5C15" w:rsidP="007E5C15">
      <w:pPr>
        <w:pStyle w:val="BodyCopy"/>
        <w:numPr>
          <w:ilvl w:val="0"/>
          <w:numId w:val="1"/>
        </w:numPr>
      </w:pPr>
      <w:r>
        <w:t>a</w:t>
      </w:r>
      <w:r w:rsidR="002D5B55" w:rsidRPr="007E5C15">
        <w:t xml:space="preserve">ffirms our support for </w:t>
      </w:r>
      <w:r w:rsidRPr="007E5C15">
        <w:t xml:space="preserve">their rights to </w:t>
      </w:r>
      <w:r w:rsidRPr="002D5B55">
        <w:t>be treated equally at work</w:t>
      </w:r>
      <w:r w:rsidRPr="007E5C15">
        <w:t xml:space="preserve">; to </w:t>
      </w:r>
      <w:r w:rsidRPr="002D5B55">
        <w:t>have equal access to public and community services without discrimination</w:t>
      </w:r>
      <w:r w:rsidRPr="007E5C15">
        <w:t xml:space="preserve">; and to </w:t>
      </w:r>
      <w:r w:rsidRPr="002D5B55">
        <w:t>access facilities, spaces and activities that align with the gender they identify</w:t>
      </w:r>
      <w:r w:rsidR="358249F2">
        <w:t xml:space="preserve"> with</w:t>
      </w:r>
    </w:p>
    <w:p w14:paraId="0C92BC2A" w14:textId="525BA29F" w:rsidR="002D5B55" w:rsidRPr="007E5C15" w:rsidRDefault="002D5B55" w:rsidP="00C7049F">
      <w:pPr>
        <w:pStyle w:val="BodyCopy"/>
        <w:numPr>
          <w:ilvl w:val="0"/>
          <w:numId w:val="1"/>
        </w:numPr>
      </w:pPr>
      <w:r w:rsidRPr="002D5B55">
        <w:t>acknowledge</w:t>
      </w:r>
      <w:r w:rsidR="007E5C15">
        <w:t>s</w:t>
      </w:r>
      <w:r w:rsidRPr="002D5B55">
        <w:t xml:space="preserve"> </w:t>
      </w:r>
      <w:r w:rsidR="007E5C15">
        <w:t>the union’s</w:t>
      </w:r>
      <w:r w:rsidRPr="002D5B55">
        <w:t xml:space="preserve"> responsibility to advocate for the rights of transgender </w:t>
      </w:r>
      <w:r w:rsidR="007E5C15" w:rsidRPr="007E5C15">
        <w:t xml:space="preserve">people </w:t>
      </w:r>
      <w:r w:rsidRPr="002D5B55">
        <w:t>and gender minorit</w:t>
      </w:r>
      <w:r w:rsidR="007E5C15" w:rsidRPr="007E5C15">
        <w:t>ies</w:t>
      </w:r>
      <w:r w:rsidRPr="002D5B55">
        <w:t xml:space="preserve"> in workplaces and in the delivery of public services</w:t>
      </w:r>
      <w:r w:rsidR="007E5C15" w:rsidRPr="007E5C15">
        <w:t>.</w:t>
      </w:r>
    </w:p>
    <w:p w14:paraId="51AD1172" w14:textId="188F4A46" w:rsidR="00C7049F" w:rsidRDefault="00C7049F" w:rsidP="00C7049F">
      <w:pPr>
        <w:pStyle w:val="BodyCopy"/>
      </w:pPr>
      <w:r>
        <w:t>Our submission does not address every part of the issues paper; due to the breadth of issues being discussed we have chosen to comment on the matters of most relevance to us as LGBTQIA+ members of the trade union for public and community service</w:t>
      </w:r>
      <w:r w:rsidR="00C56444">
        <w:t xml:space="preserve"> workers</w:t>
      </w:r>
      <w:r>
        <w:t>.</w:t>
      </w:r>
    </w:p>
    <w:p w14:paraId="6CD760DF" w14:textId="76EF7437" w:rsidR="0086510C" w:rsidRDefault="0086510C" w:rsidP="00C7049F">
      <w:pPr>
        <w:pStyle w:val="BodyCopy"/>
      </w:pPr>
      <w:r>
        <w:t xml:space="preserve">We’ve used the terms transgender, non-binary and intersex throughout this submission for </w:t>
      </w:r>
      <w:r w:rsidR="003727C7">
        <w:t>simplicity of communication</w:t>
      </w:r>
      <w:r w:rsidR="00A37E5F">
        <w:t xml:space="preserve">. We </w:t>
      </w:r>
      <w:r w:rsidR="00737817">
        <w:t xml:space="preserve">acknowledge </w:t>
      </w:r>
      <w:r w:rsidR="003727C7">
        <w:t xml:space="preserve">that </w:t>
      </w:r>
      <w:r w:rsidR="006071F2">
        <w:t>these terms don’t necessarily reflect t</w:t>
      </w:r>
      <w:r w:rsidR="001E085A">
        <w:t xml:space="preserve">he broad range of ways people describe themselves; the terms should be assumed to be </w:t>
      </w:r>
      <w:r w:rsidR="0025146E">
        <w:t>shorthand that apply broadly</w:t>
      </w:r>
      <w:r w:rsidR="00D13D15">
        <w:t>.</w:t>
      </w:r>
    </w:p>
    <w:p w14:paraId="5AA21C0C" w14:textId="77777777" w:rsidR="008F6F42" w:rsidRDefault="008F6F42" w:rsidP="00DD08C4">
      <w:pPr>
        <w:pStyle w:val="Heading1"/>
      </w:pPr>
      <w:r>
        <w:lastRenderedPageBreak/>
        <w:t>General comments</w:t>
      </w:r>
    </w:p>
    <w:p w14:paraId="5D1E4005" w14:textId="387AE178" w:rsidR="00FC36B7" w:rsidRDefault="00C7049F" w:rsidP="008F6F42">
      <w:pPr>
        <w:pStyle w:val="BodyCopy"/>
      </w:pPr>
      <w:r>
        <w:t xml:space="preserve">We support the Law Commission’s </w:t>
      </w:r>
      <w:r w:rsidR="00FC36B7" w:rsidRPr="00FC36B7">
        <w:t xml:space="preserve">preliminary conclusion that New Zealand laws should protect people from discrimination that is linked to the fact (or the discriminator’s belief) </w:t>
      </w:r>
      <w:r w:rsidR="71D0429C">
        <w:t xml:space="preserve">that </w:t>
      </w:r>
      <w:r w:rsidR="00FC36B7" w:rsidRPr="00FC36B7">
        <w:t>they are transgender or non-binary or they have an innate variation of sex characteristics</w:t>
      </w:r>
      <w:r w:rsidR="00FC36B7">
        <w:t xml:space="preserve">, and </w:t>
      </w:r>
      <w:r w:rsidR="00FC36B7" w:rsidRPr="00FC36B7">
        <w:t>that legislative amendment</w:t>
      </w:r>
      <w:r w:rsidR="00FC36B7">
        <w:t xml:space="preserve"> to the Human Rights Act 1993</w:t>
      </w:r>
      <w:r w:rsidR="00FC36B7" w:rsidRPr="00FC36B7">
        <w:t xml:space="preserve"> is necessary and desirable</w:t>
      </w:r>
      <w:r w:rsidR="00FC36B7">
        <w:t xml:space="preserve">. </w:t>
      </w:r>
    </w:p>
    <w:p w14:paraId="0DB7078E" w14:textId="4588B945" w:rsidR="001D5EF7" w:rsidRDefault="001D5EF7" w:rsidP="001D5EF7">
      <w:pPr>
        <w:pStyle w:val="BodyCopy"/>
      </w:pPr>
      <w:r>
        <w:t xml:space="preserve">This change would be a welcome clarification, giving transgender, non-binary and intersex people the confidence that they are protected by law and that if they experience </w:t>
      </w:r>
      <w:r w:rsidR="5B6D041B">
        <w:t>discrimination,</w:t>
      </w:r>
      <w:r>
        <w:t xml:space="preserve"> they have avenues available to them to seek recourse.</w:t>
      </w:r>
    </w:p>
    <w:p w14:paraId="59F8A970" w14:textId="7E1119E0" w:rsidR="008F6F42" w:rsidRDefault="00FC36B7" w:rsidP="008F6F42">
      <w:pPr>
        <w:pStyle w:val="BodyCopy"/>
      </w:pPr>
      <w:r>
        <w:t xml:space="preserve">We don’t believe that such an amendment will be enough </w:t>
      </w:r>
      <w:r w:rsidR="00300B3E">
        <w:t xml:space="preserve">on its own </w:t>
      </w:r>
      <w:r>
        <w:t xml:space="preserve">to </w:t>
      </w:r>
      <w:r w:rsidRPr="00FC36B7">
        <w:t>ensure adequate protection from discrimination for people who are transgender or non-binary or who have an innate variation of sex characteristics</w:t>
      </w:r>
      <w:r>
        <w:t>, but we see it as a necessary step in the right direction.</w:t>
      </w:r>
    </w:p>
    <w:p w14:paraId="238B2E2F" w14:textId="2F1DDA94" w:rsidR="00966218" w:rsidRDefault="00966218" w:rsidP="008F6F42">
      <w:pPr>
        <w:pStyle w:val="BodyCopy"/>
      </w:pPr>
      <w:r>
        <w:t xml:space="preserve">We believe the Law Commission’s review </w:t>
      </w:r>
      <w:r w:rsidR="003D4AB8">
        <w:t>sh</w:t>
      </w:r>
      <w:r>
        <w:t>ould be guided by the following principles</w:t>
      </w:r>
      <w:r w:rsidR="00C56444">
        <w:t>:</w:t>
      </w:r>
    </w:p>
    <w:p w14:paraId="7FBFD7FB" w14:textId="24EF7B40" w:rsidR="00782759" w:rsidRDefault="00782759" w:rsidP="00782759">
      <w:pPr>
        <w:pStyle w:val="BodyCopy"/>
        <w:numPr>
          <w:ilvl w:val="0"/>
          <w:numId w:val="4"/>
        </w:numPr>
      </w:pPr>
      <w:r>
        <w:t>Transgender, non-binary and intersex people have the same rights as other people</w:t>
      </w:r>
      <w:r w:rsidR="005D37AC">
        <w:t xml:space="preserve">, and the law should </w:t>
      </w:r>
      <w:r w:rsidR="0004163B">
        <w:t xml:space="preserve">provide them with </w:t>
      </w:r>
      <w:r w:rsidR="00123DF6">
        <w:t xml:space="preserve">clear </w:t>
      </w:r>
      <w:r w:rsidR="0004163B">
        <w:t>protection from discrimination.</w:t>
      </w:r>
    </w:p>
    <w:p w14:paraId="2A693134" w14:textId="6E03DEAB" w:rsidR="007A4B04" w:rsidRDefault="004E34E8" w:rsidP="007A4B04">
      <w:pPr>
        <w:pStyle w:val="BodyCopy"/>
        <w:numPr>
          <w:ilvl w:val="0"/>
          <w:numId w:val="4"/>
        </w:numPr>
      </w:pPr>
      <w:r>
        <w:t>T</w:t>
      </w:r>
      <w:r w:rsidR="00D979DF">
        <w:t xml:space="preserve">ransgender, non-binary </w:t>
      </w:r>
      <w:r w:rsidR="00B100B0">
        <w:t>and</w:t>
      </w:r>
      <w:r w:rsidR="00D979DF">
        <w:t xml:space="preserve"> intersex people </w:t>
      </w:r>
      <w:r>
        <w:t xml:space="preserve">should be able to </w:t>
      </w:r>
      <w:r w:rsidR="00AD1042">
        <w:t xml:space="preserve">participate in </w:t>
      </w:r>
      <w:r w:rsidR="3CA5BFEA">
        <w:t>society</w:t>
      </w:r>
      <w:r w:rsidR="00AD1042">
        <w:t xml:space="preserve"> without </w:t>
      </w:r>
      <w:r w:rsidR="006F0FC4">
        <w:t>the</w:t>
      </w:r>
      <w:r w:rsidR="00782759">
        <w:t xml:space="preserve"> exercising of their</w:t>
      </w:r>
      <w:r w:rsidR="006F0FC4">
        <w:t xml:space="preserve"> </w:t>
      </w:r>
      <w:r w:rsidR="00122ECF">
        <w:t xml:space="preserve">rights being contingent on them </w:t>
      </w:r>
      <w:r w:rsidR="00AD1042">
        <w:t>disclos</w:t>
      </w:r>
      <w:r w:rsidR="00782759">
        <w:t>ing</w:t>
      </w:r>
      <w:r w:rsidR="00AD1042">
        <w:t xml:space="preserve"> their status</w:t>
      </w:r>
      <w:r w:rsidR="00A62411">
        <w:t xml:space="preserve"> as a transgender, non-binary or intersex person</w:t>
      </w:r>
      <w:r w:rsidR="51BD58BF">
        <w:t>.</w:t>
      </w:r>
      <w:r w:rsidR="007A4B04">
        <w:t xml:space="preserve"> Just as a person transitioning should have autonomy over what they tell to who</w:t>
      </w:r>
      <w:r w:rsidR="00F568B3">
        <w:t>m</w:t>
      </w:r>
      <w:r w:rsidR="007A4B04">
        <w:t xml:space="preserve"> about their transition, a person who has transitioned should have autonomy over when and who they tell that they identify as transgender, non-binary or intersex. They should be able to feel free to disclose as much or as little as they want about their status.</w:t>
      </w:r>
    </w:p>
    <w:p w14:paraId="574E37C9" w14:textId="54071393" w:rsidR="007F0ECD" w:rsidRDefault="007F0ECD" w:rsidP="007F0ECD">
      <w:pPr>
        <w:pStyle w:val="BodyCopy"/>
        <w:numPr>
          <w:ilvl w:val="0"/>
          <w:numId w:val="4"/>
        </w:numPr>
      </w:pPr>
      <w:r>
        <w:t xml:space="preserve">Where exceptions </w:t>
      </w:r>
      <w:r w:rsidR="00167679">
        <w:t xml:space="preserve">currently </w:t>
      </w:r>
      <w:r>
        <w:t>exist within the law allowing for different treatment based on sex, th</w:t>
      </w:r>
      <w:r w:rsidR="00681E0E">
        <w:t>o</w:t>
      </w:r>
      <w:r>
        <w:t>se exceptions should treat</w:t>
      </w:r>
      <w:r w:rsidR="00A37564">
        <w:t xml:space="preserve"> </w:t>
      </w:r>
      <w:r w:rsidR="00EE7D91">
        <w:t xml:space="preserve">transgender, non-binary and intersex people as </w:t>
      </w:r>
      <w:r w:rsidR="71313ADE">
        <w:t xml:space="preserve">inhabiting </w:t>
      </w:r>
      <w:r w:rsidR="00EE7D91">
        <w:t>the gender they identify with (</w:t>
      </w:r>
      <w:r w:rsidR="72BFC5F2">
        <w:t>e.g.</w:t>
      </w:r>
      <w:r w:rsidR="00EE7D91">
        <w:t xml:space="preserve">, </w:t>
      </w:r>
      <w:r w:rsidR="00681E0E">
        <w:t>exceptions that allow people to treat women differently from men shouldn’t allow people to treat transgender women differently to cisgender women).</w:t>
      </w:r>
    </w:p>
    <w:p w14:paraId="2567A456" w14:textId="35157FF7" w:rsidR="00A26DB9" w:rsidRDefault="00067693" w:rsidP="00A26DB9">
      <w:pPr>
        <w:pStyle w:val="BodyCopy"/>
        <w:numPr>
          <w:ilvl w:val="0"/>
          <w:numId w:val="4"/>
        </w:numPr>
      </w:pPr>
      <w:r>
        <w:t xml:space="preserve">There may be circumstances where it is appropriate for transgender, non-binary and intersex people to </w:t>
      </w:r>
      <w:r w:rsidR="00A26DB9">
        <w:t xml:space="preserve">positively </w:t>
      </w:r>
      <w:r>
        <w:t>discriminate</w:t>
      </w:r>
      <w:r w:rsidR="00A26DB9">
        <w:t xml:space="preserve"> (</w:t>
      </w:r>
      <w:r w:rsidR="25A465FC">
        <w:t>e.g.</w:t>
      </w:r>
      <w:r w:rsidR="00A26DB9">
        <w:t xml:space="preserve">, to </w:t>
      </w:r>
      <w:r w:rsidR="00D1324A">
        <w:t>request</w:t>
      </w:r>
      <w:r w:rsidR="00A26DB9">
        <w:t xml:space="preserve"> to receive a service from another transgender, non-binary, intersex o</w:t>
      </w:r>
      <w:r w:rsidR="00A75D68">
        <w:t>r</w:t>
      </w:r>
      <w:r w:rsidR="00A26DB9">
        <w:t xml:space="preserve"> LGBTQI+ person</w:t>
      </w:r>
      <w:r w:rsidR="008F6862">
        <w:t xml:space="preserve"> in circumstances that are personal and/or sensitive</w:t>
      </w:r>
      <w:r w:rsidR="00352DD8">
        <w:t xml:space="preserve">, or to </w:t>
      </w:r>
      <w:r w:rsidR="00CE27E2">
        <w:t>participate in an activity that is specifically for transgender, non-binary or intersex people</w:t>
      </w:r>
      <w:r w:rsidR="00A26DB9">
        <w:t>)</w:t>
      </w:r>
      <w:r w:rsidR="00CE27E2">
        <w:t xml:space="preserve">. In these </w:t>
      </w:r>
      <w:r w:rsidR="7B6D6404">
        <w:t>cases,</w:t>
      </w:r>
      <w:r w:rsidR="00CE27E2">
        <w:t xml:space="preserve"> </w:t>
      </w:r>
      <w:r w:rsidR="00D9162B">
        <w:t xml:space="preserve">the law should enable this </w:t>
      </w:r>
      <w:r w:rsidR="00166A20">
        <w:t>as much as feasible without</w:t>
      </w:r>
      <w:r w:rsidR="00D9162B">
        <w:t xml:space="preserve"> unreasonably restrict</w:t>
      </w:r>
      <w:r w:rsidR="00166A20">
        <w:t>ing</w:t>
      </w:r>
      <w:r w:rsidR="00D9162B">
        <w:t xml:space="preserve"> the rights of other people.</w:t>
      </w:r>
    </w:p>
    <w:p w14:paraId="08DEFA5E" w14:textId="5EA64E3A" w:rsidR="00D31EB1" w:rsidRDefault="00401B87" w:rsidP="004E7866">
      <w:pPr>
        <w:pStyle w:val="BodyCopy"/>
        <w:numPr>
          <w:ilvl w:val="0"/>
          <w:numId w:val="4"/>
        </w:numPr>
      </w:pPr>
      <w:r>
        <w:t>S</w:t>
      </w:r>
      <w:r w:rsidR="00D9162B">
        <w:t xml:space="preserve">ituations where it is legitimate to </w:t>
      </w:r>
      <w:r w:rsidR="007551EC">
        <w:t>treat people differently</w:t>
      </w:r>
      <w:r w:rsidR="00D9162B">
        <w:t xml:space="preserve"> based on physical </w:t>
      </w:r>
      <w:r w:rsidR="007551EC">
        <w:t>or biological factors</w:t>
      </w:r>
      <w:r w:rsidR="00492E8A">
        <w:t xml:space="preserve"> such as</w:t>
      </w:r>
      <w:r w:rsidR="007551EC">
        <w:t xml:space="preserve"> assigned sex at birth should be limited to </w:t>
      </w:r>
      <w:r w:rsidR="00A46A6C">
        <w:t>those</w:t>
      </w:r>
      <w:r w:rsidR="00474357">
        <w:t xml:space="preserve"> </w:t>
      </w:r>
      <w:r w:rsidR="001473D9">
        <w:t>justified</w:t>
      </w:r>
      <w:r w:rsidR="00474357">
        <w:t xml:space="preserve"> by</w:t>
      </w:r>
      <w:r w:rsidR="00BD514B">
        <w:t xml:space="preserve"> </w:t>
      </w:r>
      <w:r>
        <w:t>legitimate issues of safety</w:t>
      </w:r>
      <w:r w:rsidR="00634A6A">
        <w:t xml:space="preserve"> (not just the perception of safety)</w:t>
      </w:r>
      <w:r>
        <w:t xml:space="preserve">. They </w:t>
      </w:r>
      <w:r w:rsidR="00907397">
        <w:t xml:space="preserve">shouldn’t be able to be used </w:t>
      </w:r>
      <w:r w:rsidR="00344E24">
        <w:t xml:space="preserve">as </w:t>
      </w:r>
      <w:r w:rsidR="00A83193">
        <w:t>opportunit</w:t>
      </w:r>
      <w:r w:rsidR="00344E24">
        <w:t>ies</w:t>
      </w:r>
      <w:r w:rsidR="00907397">
        <w:t xml:space="preserve"> to discriminate against transgender, non-binary or intersex </w:t>
      </w:r>
      <w:r w:rsidR="00D15D4B">
        <w:t xml:space="preserve">people </w:t>
      </w:r>
      <w:r w:rsidR="00907397">
        <w:t>based on personal prejudice.</w:t>
      </w:r>
      <w:r w:rsidR="003D55B1">
        <w:t xml:space="preserve"> </w:t>
      </w:r>
    </w:p>
    <w:p w14:paraId="3A9C904A" w14:textId="6E77EF28" w:rsidR="004E7866" w:rsidRDefault="00E23BF8" w:rsidP="004E7866">
      <w:pPr>
        <w:pStyle w:val="BodyCopy"/>
        <w:numPr>
          <w:ilvl w:val="0"/>
          <w:numId w:val="4"/>
        </w:numPr>
      </w:pPr>
      <w:r>
        <w:t>When considering a</w:t>
      </w:r>
      <w:r w:rsidR="008B65E2">
        <w:t xml:space="preserve">ny </w:t>
      </w:r>
      <w:r w:rsidR="00813E08">
        <w:t xml:space="preserve">possible </w:t>
      </w:r>
      <w:r w:rsidR="008B65E2">
        <w:t xml:space="preserve">exceptions under the Act that </w:t>
      </w:r>
      <w:r w:rsidR="00813E08">
        <w:t xml:space="preserve">would </w:t>
      </w:r>
      <w:r w:rsidR="008B65E2">
        <w:t xml:space="preserve">allow for people to discriminate against people on the grounds of </w:t>
      </w:r>
      <w:r w:rsidR="002B591F">
        <w:t>gender identity or sex characteristics</w:t>
      </w:r>
      <w:r>
        <w:t>, the Law Commission should consider how those exceptions may</w:t>
      </w:r>
      <w:r w:rsidR="008B65E2">
        <w:t xml:space="preserve"> </w:t>
      </w:r>
      <w:r w:rsidR="005537DA">
        <w:t xml:space="preserve">create </w:t>
      </w:r>
      <w:r w:rsidR="00064FFA">
        <w:t xml:space="preserve">indirect </w:t>
      </w:r>
      <w:r w:rsidR="005537DA">
        <w:t xml:space="preserve">barriers </w:t>
      </w:r>
      <w:r w:rsidR="00490A1E">
        <w:t>for transgender, non-binary or intersex</w:t>
      </w:r>
      <w:r w:rsidR="005537DA">
        <w:t xml:space="preserve"> </w:t>
      </w:r>
      <w:r w:rsidR="00490A1E">
        <w:t>people’s employment</w:t>
      </w:r>
      <w:r>
        <w:t xml:space="preserve">. For example, </w:t>
      </w:r>
      <w:r w:rsidR="00E172F8">
        <w:t xml:space="preserve">exceptions that would allow for customers or service users to discriminate </w:t>
      </w:r>
      <w:r w:rsidR="00716E0A">
        <w:t xml:space="preserve">against these groups </w:t>
      </w:r>
      <w:r w:rsidR="001D5821">
        <w:t>of people make the</w:t>
      </w:r>
      <w:r w:rsidR="00EB5617">
        <w:t>m</w:t>
      </w:r>
      <w:r w:rsidR="001D5821">
        <w:t xml:space="preserve"> </w:t>
      </w:r>
      <w:r w:rsidR="005E7424">
        <w:t xml:space="preserve">less </w:t>
      </w:r>
      <w:r w:rsidR="004C5C5A">
        <w:t>likely to be able to fulfil the requirements of the role</w:t>
      </w:r>
      <w:r w:rsidR="00A34ADF">
        <w:t>,</w:t>
      </w:r>
      <w:r w:rsidR="00064FFA">
        <w:t xml:space="preserve"> which amounts to the same outcome as if the employer had discriminated against them </w:t>
      </w:r>
      <w:r w:rsidR="08F0214E">
        <w:t>directly and</w:t>
      </w:r>
      <w:r w:rsidR="00826CF1">
        <w:t xml:space="preserve"> is something that should be avoided.</w:t>
      </w:r>
    </w:p>
    <w:p w14:paraId="33890AAD" w14:textId="77777777" w:rsidR="008F6F42" w:rsidRDefault="008F6F42" w:rsidP="00DD08C4">
      <w:pPr>
        <w:pStyle w:val="Heading1"/>
      </w:pPr>
      <w:r>
        <w:lastRenderedPageBreak/>
        <w:t>Feedback on specific sections</w:t>
      </w:r>
    </w:p>
    <w:p w14:paraId="2B6B5249" w14:textId="5693A4CA" w:rsidR="008F6F42" w:rsidRDefault="008F6F42" w:rsidP="008F6F42">
      <w:pPr>
        <w:spacing w:after="120"/>
      </w:pPr>
      <w:r>
        <w:t xml:space="preserve">The following sections of our submission focus on specific chapters and </w:t>
      </w:r>
      <w:r w:rsidR="00FC36B7">
        <w:t xml:space="preserve">questions from the issues paper </w:t>
      </w:r>
      <w:r w:rsidR="00EB5617">
        <w:t>we wish to respond to.</w:t>
      </w:r>
    </w:p>
    <w:p w14:paraId="65A1CE5A" w14:textId="77777777" w:rsidR="005A48A9" w:rsidRPr="00AB45D6" w:rsidRDefault="005A48A9" w:rsidP="00AB45D6">
      <w:pPr>
        <w:pStyle w:val="Heading2"/>
      </w:pPr>
      <w:r w:rsidRPr="00AB45D6">
        <w:t xml:space="preserve">Chapter 5 - The perspectives and concerns of Māori </w:t>
      </w:r>
    </w:p>
    <w:p w14:paraId="0D4B1E48" w14:textId="3DB8FFF4" w:rsidR="00A30E08" w:rsidRDefault="005A48A9" w:rsidP="008F6F42">
      <w:pPr>
        <w:spacing w:after="120"/>
      </w:pPr>
      <w:r>
        <w:t xml:space="preserve">As a nation founded on Te Tiriti o </w:t>
      </w:r>
      <w:r w:rsidR="3332FF21">
        <w:t>Waitangi,</w:t>
      </w:r>
      <w:r>
        <w:t xml:space="preserve"> we support an approach that takes into account the perspectives and concerns of Māori</w:t>
      </w:r>
      <w:r w:rsidR="00F4473D">
        <w:t xml:space="preserve">, and an approach that </w:t>
      </w:r>
      <w:r w:rsidR="00F43365">
        <w:t xml:space="preserve">recognises the tino rangatiratanga of Māori. </w:t>
      </w:r>
      <w:r w:rsidR="00213740">
        <w:t>In</w:t>
      </w:r>
      <w:r w:rsidR="00ED5F01">
        <w:t xml:space="preserve"> undertaking this review</w:t>
      </w:r>
      <w:r w:rsidR="00294010">
        <w:t xml:space="preserve"> the Commission should as much as possible </w:t>
      </w:r>
      <w:r>
        <w:t>elevat</w:t>
      </w:r>
      <w:r w:rsidR="00294010">
        <w:t>e</w:t>
      </w:r>
      <w:r>
        <w:t xml:space="preserve"> takatāpui and ira tangata </w:t>
      </w:r>
      <w:r w:rsidR="00B611D8">
        <w:t xml:space="preserve">experience and knowledge </w:t>
      </w:r>
      <w:r>
        <w:t xml:space="preserve">in </w:t>
      </w:r>
      <w:r w:rsidR="00294010">
        <w:t>its process of engaging with Māori and understanding their perspectives</w:t>
      </w:r>
      <w:r w:rsidR="00EB5617">
        <w:t xml:space="preserve">, as the people </w:t>
      </w:r>
      <w:r w:rsidR="00362B4A">
        <w:t>most directly affected.</w:t>
      </w:r>
      <w:r w:rsidR="00EB5617">
        <w:t xml:space="preserve"> </w:t>
      </w:r>
    </w:p>
    <w:p w14:paraId="2DF92658" w14:textId="77777777" w:rsidR="005A48A9" w:rsidRPr="00AB45D6" w:rsidRDefault="005A48A9" w:rsidP="00AB45D6">
      <w:pPr>
        <w:pStyle w:val="Heading2"/>
      </w:pPr>
      <w:r w:rsidRPr="00AB45D6">
        <w:t xml:space="preserve">Chapter 6 – Should section 21 be amended? </w:t>
      </w:r>
    </w:p>
    <w:p w14:paraId="2A433AF1" w14:textId="693AC6B2" w:rsidR="00CF1CD7" w:rsidRDefault="00CF1CD7" w:rsidP="00A37CBD">
      <w:pPr>
        <w:pStyle w:val="Heading3"/>
      </w:pPr>
      <w:r>
        <w:t xml:space="preserve">Question 6: </w:t>
      </w:r>
      <w:r w:rsidR="0098070E" w:rsidRPr="0098070E">
        <w:t>Do you have any feedback on our preliminary conclusion that an amendment to section 21 of the Human Rights Act 1993 is necessary and desirable</w:t>
      </w:r>
      <w:r w:rsidR="0098070E">
        <w:t>?</w:t>
      </w:r>
    </w:p>
    <w:p w14:paraId="4F408047" w14:textId="1484DA45" w:rsidR="008F6F42" w:rsidRDefault="00FC36B7" w:rsidP="008F6F42">
      <w:pPr>
        <w:spacing w:after="120"/>
      </w:pPr>
      <w:r>
        <w:t>As stated in our summary, we support the preliminary conclusion that section 21 should be amended.</w:t>
      </w:r>
      <w:r w:rsidR="00CC1347">
        <w:t xml:space="preserve"> The current state</w:t>
      </w:r>
      <w:r w:rsidR="00D02203">
        <w:t xml:space="preserve"> – where discrimination is generally understood to already by covered by existing grounds, but that understanding is untested and unclear – isn’t sufficient to give confidence to transgender, non-binary and intersex people that they </w:t>
      </w:r>
      <w:r w:rsidR="001A5521">
        <w:t>have legal protection</w:t>
      </w:r>
      <w:r w:rsidR="00D02203">
        <w:t xml:space="preserve"> from discrimination</w:t>
      </w:r>
      <w:r w:rsidR="001A5521">
        <w:t xml:space="preserve"> and that they have </w:t>
      </w:r>
      <w:r w:rsidR="00045D4D">
        <w:t>available sufficient</w:t>
      </w:r>
      <w:r w:rsidR="001A5521">
        <w:t xml:space="preserve"> recourse if such discrimination</w:t>
      </w:r>
      <w:r w:rsidR="00045D4D">
        <w:t xml:space="preserve"> were to occur</w:t>
      </w:r>
      <w:r w:rsidR="001A5521">
        <w:t>.</w:t>
      </w:r>
    </w:p>
    <w:p w14:paraId="3B6756CB" w14:textId="47386098" w:rsidR="005A48A9" w:rsidRPr="005A48A9" w:rsidRDefault="005A48A9" w:rsidP="00AB45D6">
      <w:pPr>
        <w:pStyle w:val="Heading2"/>
      </w:pPr>
      <w:r w:rsidRPr="005A48A9">
        <w:t>Chapter 7 – Options for new grounds</w:t>
      </w:r>
    </w:p>
    <w:p w14:paraId="0D9F18FE" w14:textId="2226204D" w:rsidR="00321D2B" w:rsidRDefault="00321D2B" w:rsidP="00A37CBD">
      <w:pPr>
        <w:pStyle w:val="Heading3"/>
      </w:pPr>
      <w:r>
        <w:t xml:space="preserve">Questions 8 &amp; 9: </w:t>
      </w:r>
      <w:r w:rsidR="0013126B" w:rsidRPr="0013126B">
        <w:t>Which of the options discussed in this chapter do you think is best for protecting people who are transgender or non-binary</w:t>
      </w:r>
      <w:r w:rsidR="00DD08C4">
        <w:t xml:space="preserve">; and </w:t>
      </w:r>
      <w:r w:rsidR="00DD08C4" w:rsidRPr="008642D1">
        <w:t>people who have an innate variation of sex characteristics</w:t>
      </w:r>
      <w:r w:rsidR="0013126B" w:rsidRPr="0013126B">
        <w:t>?</w:t>
      </w:r>
    </w:p>
    <w:p w14:paraId="5EF6C83F" w14:textId="603D3572" w:rsidR="00EE7CB8" w:rsidRDefault="005A48A9" w:rsidP="00E35BEB">
      <w:pPr>
        <w:spacing w:after="120"/>
      </w:pPr>
      <w:r>
        <w:t xml:space="preserve">We </w:t>
      </w:r>
      <w:r w:rsidR="00137F54">
        <w:t>can see that each of the proposed options for new or amended grounds presents advantages</w:t>
      </w:r>
      <w:r w:rsidR="00ED642C">
        <w:t xml:space="preserve">, </w:t>
      </w:r>
      <w:r w:rsidR="00137F54">
        <w:t>disadvantages</w:t>
      </w:r>
      <w:r w:rsidR="00ED642C">
        <w:t xml:space="preserve">, </w:t>
      </w:r>
      <w:r w:rsidR="007C5558">
        <w:t>risks</w:t>
      </w:r>
      <w:r w:rsidR="00ED642C">
        <w:t xml:space="preserve"> and complexities</w:t>
      </w:r>
      <w:r w:rsidR="007C5558">
        <w:t>. On balance</w:t>
      </w:r>
      <w:r w:rsidR="002353DC">
        <w:t>,</w:t>
      </w:r>
      <w:r w:rsidR="007C5558">
        <w:t xml:space="preserve"> </w:t>
      </w:r>
      <w:r w:rsidR="00C10BAA">
        <w:t xml:space="preserve">the option of </w:t>
      </w:r>
      <w:r w:rsidR="002353DC">
        <w:t>amending the prohibited ground of sex is our preferred option</w:t>
      </w:r>
      <w:r w:rsidR="006D5E76">
        <w:t xml:space="preserve"> </w:t>
      </w:r>
      <w:r w:rsidR="006578CD">
        <w:t>(</w:t>
      </w:r>
      <w:r w:rsidR="2A9B3C6F">
        <w:t>e.g.</w:t>
      </w:r>
      <w:r w:rsidR="006578CD">
        <w:t xml:space="preserve">, </w:t>
      </w:r>
      <w:r w:rsidR="00ED642C">
        <w:t>amending the ground</w:t>
      </w:r>
      <w:r w:rsidR="006D5E76">
        <w:t xml:space="preserve"> to ‘sex and gender’ </w:t>
      </w:r>
      <w:r w:rsidR="00AF4784">
        <w:t xml:space="preserve">accompanied by an </w:t>
      </w:r>
      <w:r w:rsidR="00FA710E">
        <w:t xml:space="preserve">expanded </w:t>
      </w:r>
      <w:r w:rsidR="00AF4784">
        <w:t xml:space="preserve">explanation </w:t>
      </w:r>
      <w:r w:rsidR="00FA710E">
        <w:t xml:space="preserve">as in paragraph </w:t>
      </w:r>
      <w:r w:rsidR="00F93419">
        <w:t>7.52</w:t>
      </w:r>
      <w:r w:rsidR="006578CD">
        <w:t>)</w:t>
      </w:r>
      <w:r w:rsidR="00EE7CB8">
        <w:t xml:space="preserve"> </w:t>
      </w:r>
      <w:r w:rsidR="002E68D4">
        <w:t>cov</w:t>
      </w:r>
      <w:r w:rsidR="0047295C">
        <w:t>er</w:t>
      </w:r>
      <w:r w:rsidR="00EE7CB8">
        <w:t>ing biological sex,</w:t>
      </w:r>
      <w:r w:rsidR="0047295C">
        <w:t xml:space="preserve"> gender identity, gender expression and variation of sex characteristics. </w:t>
      </w:r>
    </w:p>
    <w:p w14:paraId="56E95D46" w14:textId="6A1C4F19" w:rsidR="005C6295" w:rsidRDefault="005C6295" w:rsidP="00AB45D6">
      <w:pPr>
        <w:pStyle w:val="Heading2"/>
      </w:pPr>
      <w:r>
        <w:t>Chapter 9 – Employment</w:t>
      </w:r>
    </w:p>
    <w:p w14:paraId="313A442C" w14:textId="537CB7B8" w:rsidR="004A52A5" w:rsidRDefault="00E236B5" w:rsidP="008F6F42">
      <w:pPr>
        <w:spacing w:after="120"/>
      </w:pPr>
      <w:r w:rsidRPr="00CA654A">
        <w:t xml:space="preserve">We strongly support </w:t>
      </w:r>
      <w:r w:rsidR="00CA654A" w:rsidRPr="00CA654A">
        <w:t>th</w:t>
      </w:r>
      <w:r w:rsidR="00CA654A">
        <w:t>e</w:t>
      </w:r>
      <w:r w:rsidR="003A4D3E">
        <w:t xml:space="preserve"> new prohibited grounds </w:t>
      </w:r>
      <w:r w:rsidR="00956F1E" w:rsidRPr="00956F1E">
        <w:t xml:space="preserve">(or amendment of the current grounds) </w:t>
      </w:r>
      <w:r w:rsidR="00D82E06">
        <w:t xml:space="preserve">offering protection to transgender, non-binary and intersex people under section 22 of the Act. </w:t>
      </w:r>
      <w:r w:rsidR="0056073C">
        <w:t xml:space="preserve">We note that </w:t>
      </w:r>
      <w:r w:rsidR="00383F62">
        <w:t xml:space="preserve">many types of discrimination would be covered under other laws (as listed in section 9.9 of the issues paper) </w:t>
      </w:r>
      <w:r w:rsidR="00E40A20">
        <w:t xml:space="preserve">but believe that making them clear in the Human Rights Act </w:t>
      </w:r>
      <w:r w:rsidR="004A52A5">
        <w:t>further embeds those protections if they are reduced in other laws.</w:t>
      </w:r>
    </w:p>
    <w:p w14:paraId="1294DFB1" w14:textId="77777777" w:rsidR="00A37CBD" w:rsidRDefault="00A37CBD" w:rsidP="00A37CBD">
      <w:pPr>
        <w:pStyle w:val="Heading3"/>
      </w:pPr>
      <w:r>
        <w:t xml:space="preserve">Question 15: </w:t>
      </w:r>
      <w:r w:rsidRPr="009F2743">
        <w:t xml:space="preserve">Are the existing protections in the Human Rights Act 1993 relating to employment (and closely related contexts) sufficient to cover issues of particular concern to people who are transgender or non-binary or who have an innate variation of sex characteristics? </w:t>
      </w:r>
    </w:p>
    <w:p w14:paraId="1174C579" w14:textId="3342F749" w:rsidR="00044DBA" w:rsidRDefault="00044DBA" w:rsidP="00A37CBD">
      <w:pPr>
        <w:spacing w:after="120"/>
      </w:pPr>
      <w:r>
        <w:t xml:space="preserve">The Law Commission could consider whether </w:t>
      </w:r>
      <w:r w:rsidR="00194424">
        <w:t>any changes to the Act would be necessary or desirable to</w:t>
      </w:r>
      <w:r w:rsidR="003F330F">
        <w:t>:</w:t>
      </w:r>
    </w:p>
    <w:p w14:paraId="221CEC95" w14:textId="7257B4BC" w:rsidR="00194424" w:rsidRDefault="007071AD" w:rsidP="00194424">
      <w:pPr>
        <w:pStyle w:val="ListParagraph"/>
        <w:numPr>
          <w:ilvl w:val="0"/>
          <w:numId w:val="6"/>
        </w:numPr>
        <w:spacing w:after="120"/>
      </w:pPr>
      <w:r>
        <w:t xml:space="preserve">promote equal access to </w:t>
      </w:r>
      <w:r w:rsidR="00194424">
        <w:t>gender affirming care</w:t>
      </w:r>
    </w:p>
    <w:p w14:paraId="4B5A4EA6" w14:textId="44C8F98D" w:rsidR="00194424" w:rsidRDefault="007071AD" w:rsidP="00194424">
      <w:pPr>
        <w:pStyle w:val="ListParagraph"/>
        <w:numPr>
          <w:ilvl w:val="0"/>
          <w:numId w:val="6"/>
        </w:numPr>
        <w:spacing w:after="120"/>
      </w:pPr>
      <w:r>
        <w:t xml:space="preserve">promote equal access to </w:t>
      </w:r>
      <w:r w:rsidR="00194424">
        <w:t>certain types of facilities necessary for hygiene or health and safety</w:t>
      </w:r>
      <w:r w:rsidR="003F330F">
        <w:t xml:space="preserve"> in workplaces or public places</w:t>
      </w:r>
      <w:r w:rsidR="00194424">
        <w:t xml:space="preserve"> (</w:t>
      </w:r>
      <w:r w:rsidR="20D84D0B">
        <w:t>e.g.</w:t>
      </w:r>
      <w:r w:rsidR="00194424">
        <w:t>, requiring that sanitary bins are put in men’s single sex workplace toilets)</w:t>
      </w:r>
    </w:p>
    <w:p w14:paraId="16754C71" w14:textId="46F5DB86" w:rsidR="007071AD" w:rsidRDefault="007071AD" w:rsidP="00194424">
      <w:pPr>
        <w:pStyle w:val="ListParagraph"/>
        <w:numPr>
          <w:ilvl w:val="0"/>
          <w:numId w:val="6"/>
        </w:numPr>
        <w:spacing w:after="120"/>
      </w:pPr>
      <w:r>
        <w:lastRenderedPageBreak/>
        <w:t xml:space="preserve">provide </w:t>
      </w:r>
      <w:r w:rsidR="008C5590">
        <w:t xml:space="preserve">clarity </w:t>
      </w:r>
      <w:r w:rsidR="00422608">
        <w:t xml:space="preserve">that forcing people (of any gender) to wear gendered uniforms </w:t>
      </w:r>
      <w:r w:rsidR="005E09D1">
        <w:t>constitutes discrimination.</w:t>
      </w:r>
    </w:p>
    <w:p w14:paraId="63ED7F7C" w14:textId="1F5AC270" w:rsidR="002645E4" w:rsidRPr="00A37CBD" w:rsidRDefault="002645E4" w:rsidP="00A37CBD">
      <w:pPr>
        <w:pStyle w:val="Heading3"/>
      </w:pPr>
      <w:r w:rsidRPr="00A37CBD">
        <w:t xml:space="preserve">Question 16: </w:t>
      </w:r>
      <w:r w:rsidR="00A37CBD" w:rsidRPr="00A37CBD">
        <w:t>Do you have any practical concerns about what the employment protections in the Human Rights Act 1993 would cover if new prohibited grounds of discrimination are added to the Act?</w:t>
      </w:r>
    </w:p>
    <w:p w14:paraId="61D37BA7" w14:textId="374EEAD7" w:rsidR="002146FD" w:rsidRDefault="002146FD" w:rsidP="008F6F42">
      <w:pPr>
        <w:spacing w:after="120"/>
      </w:pPr>
      <w:r w:rsidRPr="002146FD">
        <w:t>We note that at</w:t>
      </w:r>
      <w:r>
        <w:t xml:space="preserve"> paragraph 9.10 of the discussion paper the Commission</w:t>
      </w:r>
      <w:r w:rsidR="00322030">
        <w:t xml:space="preserve"> </w:t>
      </w:r>
      <w:r w:rsidR="00245126">
        <w:t>asks</w:t>
      </w:r>
      <w:r w:rsidR="00322030">
        <w:t xml:space="preserve"> about </w:t>
      </w:r>
      <w:r w:rsidR="00322030" w:rsidRPr="008642D1">
        <w:t>the implications for employers and co-workers</w:t>
      </w:r>
      <w:r w:rsidR="006746E3">
        <w:t xml:space="preserve">, and </w:t>
      </w:r>
      <w:r w:rsidR="006746E3" w:rsidRPr="008642D1">
        <w:t>whether any new exceptions would be necessary and desirable to ensure the Act appropriately balances relevant rights and interests</w:t>
      </w:r>
      <w:r w:rsidR="006746E3">
        <w:t xml:space="preserve">. </w:t>
      </w:r>
      <w:r w:rsidR="00147B58">
        <w:t xml:space="preserve">We want to take this opportunity to clearly state our view that </w:t>
      </w:r>
      <w:r w:rsidR="00463DE8">
        <w:t xml:space="preserve">human rights for transgender, non-binary and intersex people </w:t>
      </w:r>
      <w:r w:rsidR="00147B58">
        <w:t>are not</w:t>
      </w:r>
      <w:r w:rsidR="00245126">
        <w:t xml:space="preserve"> a threat to the rights and safety of others that will need to be balanced</w:t>
      </w:r>
      <w:r w:rsidR="00814F18">
        <w:t>.</w:t>
      </w:r>
    </w:p>
    <w:p w14:paraId="10265FF2" w14:textId="3FF37345" w:rsidR="002756F2" w:rsidRDefault="00214E03" w:rsidP="00A37CBD">
      <w:pPr>
        <w:pStyle w:val="Heading3"/>
      </w:pPr>
      <w:r>
        <w:t>Question 18</w:t>
      </w:r>
      <w:r w:rsidR="002756F2">
        <w:t xml:space="preserve">: </w:t>
      </w:r>
      <w:r w:rsidR="00044DBA" w:rsidRPr="00044DBA">
        <w:t>If new grounds of discrimination are added to the Human Rights Act 1993 to protect people who are transgender or non-binary or who have an innate variation of sex characteristics, should the exception in section 26 for work performed outside New Zealand be amended to reflect those new grounds?</w:t>
      </w:r>
    </w:p>
    <w:p w14:paraId="12F9C6AA" w14:textId="694B7DCF" w:rsidR="001E52F7" w:rsidRDefault="001E52F7" w:rsidP="008F6F42">
      <w:pPr>
        <w:spacing w:after="120"/>
      </w:pPr>
      <w:r>
        <w:t xml:space="preserve">Regarding </w:t>
      </w:r>
      <w:r w:rsidR="00226C65">
        <w:t xml:space="preserve">the section 26 exception for work carried out outside of New Zealand, </w:t>
      </w:r>
      <w:r w:rsidR="00C27085">
        <w:t xml:space="preserve">we consider that on balance the exception should enable employers to treat </w:t>
      </w:r>
      <w:r w:rsidR="0051029F">
        <w:t xml:space="preserve">transgender, non-binary and intersex </w:t>
      </w:r>
      <w:r w:rsidR="00C27085">
        <w:t>people differently</w:t>
      </w:r>
      <w:r w:rsidR="0051029F">
        <w:t xml:space="preserve">. In this case </w:t>
      </w:r>
      <w:r w:rsidR="00AD0D2D">
        <w:t xml:space="preserve">we believe the potential </w:t>
      </w:r>
      <w:r w:rsidR="00356BF1">
        <w:t>risks to</w:t>
      </w:r>
      <w:r w:rsidR="00AD0D2D">
        <w:t xml:space="preserve"> a worker’s safety by </w:t>
      </w:r>
      <w:r w:rsidR="00356BF1">
        <w:t>being deployed in a country where</w:t>
      </w:r>
      <w:r w:rsidR="00E3213D">
        <w:t xml:space="preserve"> </w:t>
      </w:r>
      <w:r w:rsidR="00B61865">
        <w:t xml:space="preserve">local laws or customs would put them in danger </w:t>
      </w:r>
      <w:r w:rsidR="00E16AC5">
        <w:t xml:space="preserve">justify different treatment. </w:t>
      </w:r>
    </w:p>
    <w:p w14:paraId="42F40D28" w14:textId="18FE2DB6" w:rsidR="00E90B4F" w:rsidRPr="008642D1" w:rsidRDefault="00E90B4F" w:rsidP="00E90B4F">
      <w:pPr>
        <w:pStyle w:val="Heading3"/>
      </w:pPr>
      <w:r>
        <w:t>Question 22: If new grounds of discrimination are added to the Human Rights Act 1993 to protect people who are transgender or non-binary or who have an innate variation of sex characteristics, should the exception in section 27(2) for domestic employment in a private household be amended to reflect those new grounds?</w:t>
      </w:r>
    </w:p>
    <w:p w14:paraId="2A6C29D5" w14:textId="14748337" w:rsidR="005E09D1" w:rsidRPr="00F04BEA" w:rsidRDefault="6A0B4E24" w:rsidP="6A0B4E24">
      <w:pPr>
        <w:spacing w:after="120"/>
      </w:pPr>
      <w:r w:rsidRPr="006079FC">
        <w:t xml:space="preserve">Noting the lack of cohesive rationale for which grounds are currently covered by this exception and which aren’t, we don’t see a reason why people should be able to discriminate against transgender, non-binary or intersex people for domestic employment, or to require people to disclose whether </w:t>
      </w:r>
      <w:r w:rsidRPr="00F04BEA">
        <w:t xml:space="preserve">they are transgender, non-binary or intersex as a condition of their employment. </w:t>
      </w:r>
    </w:p>
    <w:p w14:paraId="6C09EDE9" w14:textId="2AA661D9" w:rsidR="000214E1" w:rsidRDefault="00C83C4E" w:rsidP="00954D21">
      <w:pPr>
        <w:pStyle w:val="BodyCopy"/>
      </w:pPr>
      <w:r w:rsidRPr="7BA72654">
        <w:t xml:space="preserve">Of the PSA’s membership, almost 10, 000 people work providing care and support services to people in private homes. This work is low paid and undervalued and often insecure. It involves working with clients with disabilities and at times complex needs. This work is funded by government and if </w:t>
      </w:r>
      <w:r w:rsidR="00F04BEA" w:rsidRPr="7BA72654">
        <w:t>exemptions enabled discrimination against transgender, non-binary or intersex people</w:t>
      </w:r>
      <w:r w:rsidRPr="7BA72654">
        <w:t xml:space="preserve"> this would have the </w:t>
      </w:r>
      <w:r w:rsidR="001E481E" w:rsidRPr="7BA72654">
        <w:t xml:space="preserve">practical </w:t>
      </w:r>
      <w:r w:rsidRPr="7BA72654">
        <w:t>effect of the state funding discriminatory employment.</w:t>
      </w:r>
      <w:r w:rsidR="387B7BEA" w:rsidRPr="7BA72654">
        <w:t xml:space="preserve"> </w:t>
      </w:r>
    </w:p>
    <w:p w14:paraId="761E6766" w14:textId="2AFEC954" w:rsidR="000214E1" w:rsidRDefault="000214E1" w:rsidP="000214E1">
      <w:pPr>
        <w:pStyle w:val="Heading3"/>
      </w:pPr>
      <w:r w:rsidRPr="000214E1">
        <w:t>Question 24</w:t>
      </w:r>
      <w:r w:rsidR="009D26D6">
        <w:t xml:space="preserve"> &amp; 28</w:t>
      </w:r>
      <w:r w:rsidRPr="000214E1">
        <w:t xml:space="preserve">: </w:t>
      </w:r>
      <w:r w:rsidRPr="00EE3EE3">
        <w:t xml:space="preserve">If new grounds of discrimination are added to the Human Rights Act 1993 to protect people who are transgender or non-binary or who have an innate variation of sex characteristics, should the privacy exception in section 27(3)(a) </w:t>
      </w:r>
      <w:r w:rsidR="009D26D6">
        <w:t xml:space="preserve">and the </w:t>
      </w:r>
      <w:r w:rsidR="009D26D6" w:rsidRPr="00656DA3">
        <w:t xml:space="preserve">exception in section 27(4) for counsellors on highly personal matters </w:t>
      </w:r>
      <w:r w:rsidRPr="00EE3EE3">
        <w:t xml:space="preserve">be amended to reflect those new grounds? </w:t>
      </w:r>
    </w:p>
    <w:p w14:paraId="0E97FC7C" w14:textId="77777777" w:rsidR="00972E0F" w:rsidRPr="006079FC" w:rsidRDefault="00972E0F" w:rsidP="4DE1CD1F">
      <w:pPr>
        <w:spacing w:after="120"/>
      </w:pPr>
      <w:r w:rsidRPr="006079FC">
        <w:t>We don’t have a firm recommendation in this area, but we believe it is an important area of further focus for the Commission, and we would be happy to help facilitating the Law Commission talking more to workers about it.</w:t>
      </w:r>
    </w:p>
    <w:p w14:paraId="3CC02539" w14:textId="0524A2F0" w:rsidR="00972E0F" w:rsidRPr="006079FC" w:rsidRDefault="00081AD4" w:rsidP="008F6F42">
      <w:pPr>
        <w:spacing w:after="120"/>
      </w:pPr>
      <w:r w:rsidRPr="006079FC">
        <w:t>We acknowledge th</w:t>
      </w:r>
      <w:r w:rsidR="00F928D9" w:rsidRPr="006079FC">
        <w:t xml:space="preserve">at when it comes to highly personal </w:t>
      </w:r>
      <w:r w:rsidR="008B2482" w:rsidRPr="006079FC">
        <w:t xml:space="preserve">areas where people are vulnerable (such as situations like strip searches, </w:t>
      </w:r>
      <w:r w:rsidR="00D663F1" w:rsidRPr="006079FC">
        <w:t>personal care, or counselling on sensitive matters)</w:t>
      </w:r>
      <w:r w:rsidR="2AD8E62D" w:rsidRPr="006079FC">
        <w:t xml:space="preserve">, </w:t>
      </w:r>
      <w:r w:rsidR="74726970" w:rsidRPr="006079FC">
        <w:t>t</w:t>
      </w:r>
      <w:r w:rsidR="00D663F1" w:rsidRPr="006079FC">
        <w:t>here</w:t>
      </w:r>
      <w:r w:rsidR="008651C2" w:rsidRPr="006079FC">
        <w:t xml:space="preserve"> are </w:t>
      </w:r>
      <w:r w:rsidR="00D04427" w:rsidRPr="006079FC">
        <w:t xml:space="preserve">important considerations that may </w:t>
      </w:r>
      <w:r w:rsidR="00B91914" w:rsidRPr="006079FC">
        <w:t xml:space="preserve">not always </w:t>
      </w:r>
      <w:r w:rsidR="00D04427" w:rsidRPr="006079FC">
        <w:t xml:space="preserve">be </w:t>
      </w:r>
      <w:r w:rsidR="00B86A9A" w:rsidRPr="006079FC">
        <w:t>compatible</w:t>
      </w:r>
      <w:r w:rsidR="005B543A" w:rsidRPr="006079FC">
        <w:t xml:space="preserve">. </w:t>
      </w:r>
      <w:r w:rsidR="00877109" w:rsidRPr="006079FC">
        <w:t>It is</w:t>
      </w:r>
      <w:r w:rsidR="005B543A" w:rsidRPr="006079FC">
        <w:t xml:space="preserve"> </w:t>
      </w:r>
      <w:r w:rsidR="00CF23A1" w:rsidRPr="006079FC">
        <w:t>importan</w:t>
      </w:r>
      <w:r w:rsidR="00877109" w:rsidRPr="006079FC">
        <w:t xml:space="preserve">t for </w:t>
      </w:r>
      <w:r w:rsidR="00CF23A1" w:rsidRPr="006079FC">
        <w:t>people</w:t>
      </w:r>
      <w:r w:rsidR="19D71C17" w:rsidRPr="006079FC">
        <w:t xml:space="preserve"> </w:t>
      </w:r>
      <w:r w:rsidR="00CF23A1" w:rsidRPr="006079FC">
        <w:t>to feel a high level of autonomy and comfort about who see</w:t>
      </w:r>
      <w:r w:rsidR="00B86A9A" w:rsidRPr="006079FC">
        <w:t>s</w:t>
      </w:r>
      <w:r w:rsidR="00CF23A1" w:rsidRPr="006079FC">
        <w:t xml:space="preserve"> them at their most vulnerable</w:t>
      </w:r>
      <w:r w:rsidR="00656D3C" w:rsidRPr="006079FC">
        <w:t xml:space="preserve"> (</w:t>
      </w:r>
      <w:r w:rsidR="734D6BBF" w:rsidRPr="006079FC">
        <w:t>e.g.</w:t>
      </w:r>
      <w:r w:rsidR="00656D3C" w:rsidRPr="006079FC">
        <w:t>, in personal care situations</w:t>
      </w:r>
      <w:r w:rsidR="005832DD" w:rsidRPr="006079FC">
        <w:t>, especially home-based</w:t>
      </w:r>
      <w:r w:rsidR="00656D3C" w:rsidRPr="006079FC">
        <w:t>)</w:t>
      </w:r>
      <w:r w:rsidR="005832DD" w:rsidRPr="006079FC">
        <w:t>. W</w:t>
      </w:r>
      <w:r w:rsidR="00877109" w:rsidRPr="006079FC">
        <w:t>e see</w:t>
      </w:r>
      <w:r w:rsidR="007D6D13" w:rsidRPr="006079FC">
        <w:t xml:space="preserve"> </w:t>
      </w:r>
      <w:r w:rsidR="005B543A" w:rsidRPr="006079FC">
        <w:t xml:space="preserve">benefits </w:t>
      </w:r>
      <w:r w:rsidR="00FC4C0B" w:rsidRPr="006079FC">
        <w:t>for</w:t>
      </w:r>
      <w:r w:rsidR="005B543A" w:rsidRPr="006079FC">
        <w:t xml:space="preserve"> transgender, non-binary and intersex people </w:t>
      </w:r>
      <w:r w:rsidR="37DA9B49" w:rsidRPr="006079FC">
        <w:t>having a choice</w:t>
      </w:r>
      <w:r w:rsidR="4394CCB8" w:rsidRPr="006079FC">
        <w:t xml:space="preserve"> about whether</w:t>
      </w:r>
      <w:r w:rsidR="00FE05A3" w:rsidRPr="006079FC">
        <w:t xml:space="preserve"> to receive </w:t>
      </w:r>
      <w:r w:rsidR="00FC4C0B" w:rsidRPr="006079FC">
        <w:t xml:space="preserve">highly personal support services from someone who is also transgender, non-binary </w:t>
      </w:r>
      <w:r w:rsidR="005832DD" w:rsidRPr="006079FC">
        <w:t xml:space="preserve">or </w:t>
      </w:r>
      <w:r w:rsidR="00FC4C0B" w:rsidRPr="006079FC">
        <w:t>intersex</w:t>
      </w:r>
      <w:r w:rsidR="007D6D13" w:rsidRPr="006079FC">
        <w:t>.</w:t>
      </w:r>
      <w:r w:rsidR="00796E9A" w:rsidRPr="006079FC">
        <w:t xml:space="preserve"> </w:t>
      </w:r>
    </w:p>
    <w:p w14:paraId="1560F2F5" w14:textId="7956F7D8" w:rsidR="009D26D6" w:rsidRPr="001E481E" w:rsidRDefault="00102740" w:rsidP="008F6F42">
      <w:pPr>
        <w:spacing w:after="120"/>
      </w:pPr>
      <w:r w:rsidRPr="006079FC">
        <w:lastRenderedPageBreak/>
        <w:t xml:space="preserve">However, we believe there needs to be a high bar for anything that would allow </w:t>
      </w:r>
      <w:r w:rsidR="00523352" w:rsidRPr="006079FC">
        <w:t xml:space="preserve">for discrimination against </w:t>
      </w:r>
      <w:r w:rsidR="00523352" w:rsidRPr="00F04BEA">
        <w:t xml:space="preserve">transgender, non-binary and intersex people that would be detrimental to their employment. </w:t>
      </w:r>
      <w:r w:rsidR="001E481E" w:rsidRPr="00F04BEA">
        <w:t>As noted in our response to</w:t>
      </w:r>
      <w:r w:rsidR="00972E0F" w:rsidRPr="00F04BEA">
        <w:t xml:space="preserve"> question 22, there </w:t>
      </w:r>
      <w:r w:rsidR="00C83C4E" w:rsidRPr="00F04BEA">
        <w:t xml:space="preserve">are thousands of state-funded </w:t>
      </w:r>
      <w:r w:rsidR="001E481E" w:rsidRPr="00F04BEA">
        <w:t xml:space="preserve">but privately employed </w:t>
      </w:r>
      <w:r w:rsidR="00C83C4E" w:rsidRPr="00F04BEA">
        <w:t xml:space="preserve">care </w:t>
      </w:r>
      <w:r w:rsidR="001E481E" w:rsidRPr="00F04BEA">
        <w:t xml:space="preserve">workers, and many of these workers will provide highly personal or care where the privacy exception would be relevant. </w:t>
      </w:r>
      <w:r w:rsidR="00F04BEA" w:rsidRPr="00F04BEA">
        <w:t>Exemptions in this area enabling discrimination against transgender, non-binary or intersex people would have the practical effect of the state funding discriminatory employment.</w:t>
      </w:r>
    </w:p>
    <w:p w14:paraId="7A306E65" w14:textId="77777777" w:rsidR="00A37CBD" w:rsidRPr="00182A4E" w:rsidRDefault="00A37CBD" w:rsidP="00A37CBD">
      <w:pPr>
        <w:pStyle w:val="Heading3"/>
      </w:pPr>
      <w:r w:rsidRPr="00182A4E">
        <w:t>Question 32: Do you have any feedback about the implications of this review for the Employment Relations Act 2000?</w:t>
      </w:r>
    </w:p>
    <w:p w14:paraId="2F08197F" w14:textId="368C406A" w:rsidR="00A37CBD" w:rsidRDefault="00A37CBD" w:rsidP="00A37CBD">
      <w:pPr>
        <w:spacing w:after="120"/>
      </w:pPr>
      <w:r>
        <w:t xml:space="preserve">A change to the Human Rights Act to protect transgender, non-binary and intersex people from discrimination must necessarily be accompanied by comparable amendments to section 105 of the Employment Relations Act. Failure to do so would potentially give rise to numerous issues or potential hurdles concerning both standing and jurisdiction for any member seeking protection from such discrimination; and would further serve to compound any existing access to justice issues as experienced by members following discrimination in employment settings. </w:t>
      </w:r>
    </w:p>
    <w:p w14:paraId="6EA937DB" w14:textId="773069C6" w:rsidR="00B7514D" w:rsidRDefault="00A025D0" w:rsidP="00AB45D6">
      <w:pPr>
        <w:pStyle w:val="Heading2"/>
      </w:pPr>
      <w:r>
        <w:t>Chapter 12 – Education</w:t>
      </w:r>
    </w:p>
    <w:p w14:paraId="1CFB6A57" w14:textId="71884719" w:rsidR="005836E5" w:rsidRDefault="005836E5" w:rsidP="00A37CBD">
      <w:pPr>
        <w:pStyle w:val="Heading3"/>
      </w:pPr>
      <w:r>
        <w:t>Question 52: Exception for single sex schools</w:t>
      </w:r>
    </w:p>
    <w:p w14:paraId="44724587" w14:textId="6B84543E" w:rsidR="00A025D0" w:rsidRDefault="19160DA8" w:rsidP="00954E15">
      <w:pPr>
        <w:pStyle w:val="BodyCopy"/>
      </w:pPr>
      <w:r>
        <w:t>In regard to</w:t>
      </w:r>
      <w:r w:rsidR="00A025D0">
        <w:t xml:space="preserve"> question 52</w:t>
      </w:r>
      <w:r w:rsidR="00DB6064">
        <w:t xml:space="preserve"> (should the exception in section 58(1) for single-sex schools be amended to reflect any new grounds we propose) we recommend option B. We don’t believe single sex schools should be able to discriminate against transgender students.</w:t>
      </w:r>
    </w:p>
    <w:p w14:paraId="4F558F14" w14:textId="0BEF7CC5" w:rsidR="00DB6064" w:rsidRDefault="00DB6064" w:rsidP="00AB45D6">
      <w:pPr>
        <w:pStyle w:val="Heading2"/>
      </w:pPr>
      <w:r>
        <w:t>Chapter 13 – Exceptions for single sex facilities</w:t>
      </w:r>
    </w:p>
    <w:p w14:paraId="70DC983E" w14:textId="5E2443CA" w:rsidR="00954E15" w:rsidRDefault="00954E15" w:rsidP="00954E15">
      <w:pPr>
        <w:pStyle w:val="BodyCopy"/>
      </w:pPr>
      <w:r>
        <w:t xml:space="preserve">Our view is that people should be able to use the spaces and facilities that align with their gender. </w:t>
      </w:r>
    </w:p>
    <w:p w14:paraId="265BC6DA" w14:textId="5E3BBF21" w:rsidR="00915B31" w:rsidRDefault="007351B6" w:rsidP="00954E15">
      <w:pPr>
        <w:pStyle w:val="BodyCopy"/>
      </w:pPr>
      <w:r>
        <w:t xml:space="preserve">Committee members shared anecdotal experiences about trans people in their lives feeling </w:t>
      </w:r>
      <w:r w:rsidR="00376E6B">
        <w:t>anxiety about using gendered toilets while out in public</w:t>
      </w:r>
      <w:r w:rsidR="00260848">
        <w:t xml:space="preserve"> because of the potential stigma, hostility or discomfort of be</w:t>
      </w:r>
      <w:r w:rsidR="00CB54B6">
        <w:t>ing accused of using the wrong one</w:t>
      </w:r>
      <w:r w:rsidR="00376E6B">
        <w:t xml:space="preserve">. They spoke about </w:t>
      </w:r>
      <w:r w:rsidR="00260848">
        <w:t>people avoiding the use</w:t>
      </w:r>
      <w:r w:rsidR="00CB54B6">
        <w:t xml:space="preserve"> of gendered toilets</w:t>
      </w:r>
      <w:r w:rsidR="00260848">
        <w:t xml:space="preserve">, even if it meant limiting how much liquid they drank </w:t>
      </w:r>
      <w:r w:rsidR="00CB54B6">
        <w:t xml:space="preserve">while out in public. Such </w:t>
      </w:r>
      <w:r w:rsidR="28706D05">
        <w:t>impacts</w:t>
      </w:r>
      <w:r w:rsidR="00CB54B6">
        <w:t xml:space="preserve"> on people’s behaviour demonstrate how </w:t>
      </w:r>
      <w:r w:rsidR="00A16C60">
        <w:t xml:space="preserve">discrimination – or even the possibility of discrimination seeming much more likely in the current </w:t>
      </w:r>
      <w:r w:rsidR="00B16911">
        <w:t>political climate – can affect people’s psychological, social</w:t>
      </w:r>
      <w:r w:rsidR="5A9A9195">
        <w:t>,</w:t>
      </w:r>
      <w:r w:rsidR="00B16911">
        <w:t xml:space="preserve"> and physical wellbeing.</w:t>
      </w:r>
    </w:p>
    <w:p w14:paraId="62B1E21D" w14:textId="77777777" w:rsidR="00C00CA2" w:rsidRDefault="002F78D6" w:rsidP="00897B89">
      <w:pPr>
        <w:pStyle w:val="Heading3"/>
      </w:pPr>
      <w:r>
        <w:t xml:space="preserve">Question 58: </w:t>
      </w:r>
      <w:r w:rsidR="00C00CA2" w:rsidRPr="00C4415B">
        <w:t>Is an amendment to the Human Rights Act 1993 desirable to encourage the provision of unisex facilities and, if so, what should it require?</w:t>
      </w:r>
    </w:p>
    <w:p w14:paraId="314D87B7" w14:textId="5C969A3D" w:rsidR="00FC596A" w:rsidRDefault="00C00CA2" w:rsidP="00C00CA2">
      <w:pPr>
        <w:pStyle w:val="BodyCopy"/>
      </w:pPr>
      <w:r>
        <w:t xml:space="preserve">We support </w:t>
      </w:r>
      <w:r w:rsidR="001B290E">
        <w:t xml:space="preserve">government intervention to promote </w:t>
      </w:r>
      <w:r w:rsidR="00154DB8">
        <w:t xml:space="preserve">the use of </w:t>
      </w:r>
      <w:r w:rsidR="001B290E">
        <w:t>gender-neutral bathrooms</w:t>
      </w:r>
      <w:r w:rsidR="00E07CD0">
        <w:t xml:space="preserve"> in workplaces and places accessed by the public</w:t>
      </w:r>
      <w:r w:rsidR="00A76BCD">
        <w:t xml:space="preserve"> (either through the Human Rights Act or the Building Code or both)</w:t>
      </w:r>
      <w:r w:rsidR="00154DB8">
        <w:t xml:space="preserve">. </w:t>
      </w:r>
      <w:r w:rsidR="00E07CD0">
        <w:t>Gender-neutral bathrooms are</w:t>
      </w:r>
      <w:r w:rsidR="00AC7D8A">
        <w:t xml:space="preserve"> places where anyone – regardless of gender or any other factor – can </w:t>
      </w:r>
      <w:r w:rsidR="00703313">
        <w:t>have privacy without needing to be concerned about who they may be sharing the space with</w:t>
      </w:r>
      <w:r w:rsidR="00E76A6A">
        <w:t>.</w:t>
      </w:r>
    </w:p>
    <w:p w14:paraId="2300ED79" w14:textId="4F997B79" w:rsidR="00C846BA" w:rsidRDefault="00D539D7" w:rsidP="00C00CA2">
      <w:pPr>
        <w:pStyle w:val="BodyCopy"/>
      </w:pPr>
      <w:r>
        <w:t>However, w</w:t>
      </w:r>
      <w:r w:rsidR="001A44EE">
        <w:t xml:space="preserve">e </w:t>
      </w:r>
      <w:r w:rsidR="003D6A47">
        <w:t>wholeheartedly</w:t>
      </w:r>
      <w:r>
        <w:t xml:space="preserve"> oppose the provision of gender-neutral bathrooms being used as a way of excluding people from single sex bathrooms</w:t>
      </w:r>
      <w:r w:rsidR="000B3FF8">
        <w:t xml:space="preserve">. </w:t>
      </w:r>
      <w:r w:rsidR="005B1040">
        <w:t>Forcing trans</w:t>
      </w:r>
      <w:r w:rsidR="006F48A0">
        <w:t xml:space="preserve">gender, non-binary or intersex people to use </w:t>
      </w:r>
      <w:r w:rsidR="005578C7">
        <w:t xml:space="preserve">gender-neutral bathrooms instead of </w:t>
      </w:r>
      <w:r w:rsidR="00CE1452">
        <w:t xml:space="preserve">single-sex ones </w:t>
      </w:r>
      <w:r w:rsidR="003B344B">
        <w:t xml:space="preserve">would </w:t>
      </w:r>
      <w:r>
        <w:t xml:space="preserve">simply reinforce </w:t>
      </w:r>
      <w:r w:rsidR="00997526">
        <w:t xml:space="preserve">the </w:t>
      </w:r>
      <w:r>
        <w:t>discrimination</w:t>
      </w:r>
      <w:r w:rsidR="00997526">
        <w:t xml:space="preserve"> </w:t>
      </w:r>
      <w:r w:rsidR="00CE1452">
        <w:t>these groups</w:t>
      </w:r>
      <w:r w:rsidR="00997526">
        <w:t xml:space="preserve"> already face</w:t>
      </w:r>
      <w:r w:rsidR="004B0450">
        <w:t>.</w:t>
      </w:r>
      <w:r w:rsidR="00704AAC">
        <w:t xml:space="preserve"> </w:t>
      </w:r>
      <w:r w:rsidR="00546577">
        <w:t xml:space="preserve">It </w:t>
      </w:r>
      <w:r w:rsidR="003B344B">
        <w:t xml:space="preserve">would send a message that the gender identity of transgender women and men is less valid than </w:t>
      </w:r>
      <w:r w:rsidR="00010AFD">
        <w:t xml:space="preserve">that of </w:t>
      </w:r>
      <w:r w:rsidR="003B344B">
        <w:t>cisgender</w:t>
      </w:r>
      <w:r w:rsidR="00077A60">
        <w:t xml:space="preserve"> women and men</w:t>
      </w:r>
      <w:r w:rsidR="005F60B5">
        <w:t xml:space="preserve">, and it would lend credibility to </w:t>
      </w:r>
      <w:r w:rsidR="00023C5A">
        <w:t>transphobic arguments</w:t>
      </w:r>
      <w:r w:rsidR="00DC68CE">
        <w:t xml:space="preserve"> about</w:t>
      </w:r>
      <w:r w:rsidR="005F60B5">
        <w:t xml:space="preserve"> transgender people pos</w:t>
      </w:r>
      <w:r w:rsidR="00DC68CE">
        <w:t>ing</w:t>
      </w:r>
      <w:r w:rsidR="005F60B5">
        <w:t xml:space="preserve"> some kind of threat to the safety of others</w:t>
      </w:r>
      <w:r w:rsidR="005E2B6F">
        <w:t>.</w:t>
      </w:r>
      <w:r w:rsidR="00DC68CE">
        <w:t xml:space="preserve"> </w:t>
      </w:r>
      <w:r w:rsidR="0090664F">
        <w:t>Practically speaking, it would also make everyday life more difficult for transgender, non-binary and intersex people</w:t>
      </w:r>
      <w:r w:rsidR="00B34AB6">
        <w:t>.</w:t>
      </w:r>
    </w:p>
    <w:p w14:paraId="59527A0B" w14:textId="7D4BF9E4" w:rsidR="008A469F" w:rsidRDefault="00D723D8" w:rsidP="00897B89">
      <w:pPr>
        <w:pStyle w:val="Heading3"/>
      </w:pPr>
      <w:r>
        <w:lastRenderedPageBreak/>
        <w:t xml:space="preserve">Question 59: </w:t>
      </w:r>
      <w:r w:rsidR="00897B89">
        <w:t>S</w:t>
      </w:r>
      <w:r w:rsidR="008A469F" w:rsidRPr="00B174AE">
        <w:t>hould the single-sex facilities exceptions in sections 43(1) and 46 be amended to reflect those new grounds?</w:t>
      </w:r>
    </w:p>
    <w:p w14:paraId="204EBA18" w14:textId="69511B61" w:rsidR="00752DBA" w:rsidRPr="008642D1" w:rsidRDefault="008A469F" w:rsidP="00954D21">
      <w:pPr>
        <w:pStyle w:val="BodyCopy"/>
      </w:pPr>
      <w:r>
        <w:t xml:space="preserve">We support </w:t>
      </w:r>
      <w:r w:rsidR="00530882">
        <w:t xml:space="preserve">the Act being amended to provide clarity about who can use single sex facilities. </w:t>
      </w:r>
      <w:r>
        <w:t xml:space="preserve">Of the options presented we support </w:t>
      </w:r>
      <w:r w:rsidRPr="00954D21">
        <w:t>option two: clarify that it is lawful to use a facility aligned with your gender identity</w:t>
      </w:r>
      <w:r>
        <w:t>.</w:t>
      </w:r>
      <w:r w:rsidR="00530882">
        <w:t xml:space="preserve"> This is the only option </w:t>
      </w:r>
      <w:r w:rsidR="009F527C">
        <w:t xml:space="preserve">that </w:t>
      </w:r>
      <w:r w:rsidR="00897B89">
        <w:t>protects the rights and dignity of transgender, non-binary and intersex people</w:t>
      </w:r>
      <w:r w:rsidR="00B34AB6">
        <w:t xml:space="preserve">, </w:t>
      </w:r>
      <w:r w:rsidR="006F1E5F">
        <w:t xml:space="preserve">as option one perpetuates current uncertainty, and options three and four would allow for unreasonable discrimination. </w:t>
      </w:r>
      <w:r w:rsidR="00352A07" w:rsidRPr="00FB7184">
        <w:t>Question 63</w:t>
      </w:r>
      <w:r w:rsidR="00752DBA" w:rsidRPr="00FB7184">
        <w:t>: Implications</w:t>
      </w:r>
      <w:r w:rsidR="00752DBA" w:rsidRPr="008642D1">
        <w:t xml:space="preserve"> of this review for single-sex facilities in employment</w:t>
      </w:r>
      <w:r w:rsidR="00CD2AEF">
        <w:t>.</w:t>
      </w:r>
    </w:p>
    <w:p w14:paraId="4D07DF3B" w14:textId="35204070" w:rsidR="00352A07" w:rsidRPr="00ED6879" w:rsidRDefault="006A5D02" w:rsidP="00954E15">
      <w:pPr>
        <w:pStyle w:val="BodyCopy"/>
        <w:rPr>
          <w:color w:val="FF0000"/>
        </w:rPr>
      </w:pPr>
      <w:r>
        <w:t>We note the lack of clarity around facilities provided by employers to their employees to which the public does not have access (e</w:t>
      </w:r>
      <w:r w:rsidR="4BB34128">
        <w:t>.</w:t>
      </w:r>
      <w:r>
        <w:t>g</w:t>
      </w:r>
      <w:r w:rsidR="4BB34128">
        <w:t>.</w:t>
      </w:r>
      <w:r>
        <w:t>, employee-only bathrooms). We think this would be a useful area to clarify, and in doing so the law should provide that transgender, non-binary and intersex people are able to use the workplace facilities that align with their gender</w:t>
      </w:r>
      <w:r w:rsidR="0066255A">
        <w:t xml:space="preserve"> (</w:t>
      </w:r>
      <w:r w:rsidR="6D9175DE">
        <w:t>i.e.</w:t>
      </w:r>
      <w:r w:rsidR="0066255A">
        <w:t>, consistent with option two</w:t>
      </w:r>
      <w:r w:rsidR="00FB7184">
        <w:t xml:space="preserve"> in relation to sections 43(1) and 46).</w:t>
      </w:r>
    </w:p>
    <w:p w14:paraId="1E208A30" w14:textId="2E1372C6" w:rsidR="006E6188" w:rsidRDefault="006E6188" w:rsidP="00AB45D6">
      <w:pPr>
        <w:pStyle w:val="Heading2"/>
      </w:pPr>
      <w:r>
        <w:t>Chapter 15 – Other issues in Part 2</w:t>
      </w:r>
    </w:p>
    <w:p w14:paraId="468F633B" w14:textId="35CF0B65" w:rsidR="00D14A9A" w:rsidRDefault="0060385F" w:rsidP="00A37CBD">
      <w:pPr>
        <w:pStyle w:val="Heading3"/>
      </w:pPr>
      <w:r>
        <w:t>Question 66</w:t>
      </w:r>
      <w:r w:rsidR="00BB72BB">
        <w:t xml:space="preserve"> &amp; 67</w:t>
      </w:r>
      <w:r>
        <w:t xml:space="preserve">: </w:t>
      </w:r>
      <w:r w:rsidR="00260B4B" w:rsidRPr="00260B4B">
        <w:t>Are there sufficient legal remedies available to address harassment that is directed at a person because they are transgender or non-binary or they have an innate variation of sex characteristics?</w:t>
      </w:r>
      <w:r w:rsidR="003D6B82">
        <w:t xml:space="preserve"> </w:t>
      </w:r>
      <w:r w:rsidR="003D6B82" w:rsidRPr="003D6B82">
        <w:t>Should there be a new provision inserted into Part 2 of the Human Rights Act 1993 to protect people from harassment?</w:t>
      </w:r>
    </w:p>
    <w:p w14:paraId="5CCC8CA3" w14:textId="3F6FFED1" w:rsidR="006E6188" w:rsidRDefault="006E6188" w:rsidP="00954E15">
      <w:pPr>
        <w:pStyle w:val="BodyCopy"/>
      </w:pPr>
      <w:r>
        <w:t xml:space="preserve">We recommend that </w:t>
      </w:r>
      <w:r w:rsidR="00E203C4" w:rsidRPr="00E203C4">
        <w:t>the Human Rights Act should prohibit harassment of people because they are transgender or non-binary or they have an innate variation of sex characteristics</w:t>
      </w:r>
      <w:r w:rsidR="00E203C4">
        <w:t>. We note that the Law Commission considers the current inconsistencies (in terms of which protected grounds are included in harassment provisions) out of scope, but we think this is an issue that should be further examined.</w:t>
      </w:r>
    </w:p>
    <w:p w14:paraId="15F985C5" w14:textId="62F5002D" w:rsidR="00D8154C" w:rsidRDefault="00D8154C" w:rsidP="00A37CBD">
      <w:pPr>
        <w:pStyle w:val="Heading3"/>
      </w:pPr>
      <w:r>
        <w:t xml:space="preserve">Question 68: </w:t>
      </w:r>
      <w:r w:rsidR="00034AC5" w:rsidRPr="00034AC5">
        <w:t>Should there be a new provision added to the “Other forms of discrimination” subpart to clarify the circumstances in which medical interventions on children and young people with an innate variation of sex characteristics are allowed?</w:t>
      </w:r>
    </w:p>
    <w:p w14:paraId="184D89BE" w14:textId="0F49B26E" w:rsidR="00E203C4" w:rsidRDefault="00E203C4" w:rsidP="00954E15">
      <w:pPr>
        <w:pStyle w:val="BodyCopy"/>
      </w:pPr>
      <w:r>
        <w:t>We strongly</w:t>
      </w:r>
      <w:r w:rsidR="00954D21">
        <w:t xml:space="preserve"> agree</w:t>
      </w:r>
      <w:r>
        <w:t xml:space="preserve"> there should be better protections for intersex people against unnecessary medical interventions</w:t>
      </w:r>
      <w:r w:rsidR="00652731">
        <w:t>,</w:t>
      </w:r>
      <w:r>
        <w:t xml:space="preserve"> but feel we are not qualified to comment on whether the Human Rights Act is the appropriate place for this. This is a question that should be addressed primarily based on the views of the intersex community</w:t>
      </w:r>
      <w:r w:rsidR="0044738D">
        <w:t>, through engagement with the intersex community</w:t>
      </w:r>
      <w:r>
        <w:t xml:space="preserve">. </w:t>
      </w:r>
    </w:p>
    <w:p w14:paraId="089989DD" w14:textId="291FE7EB" w:rsidR="00B815E4" w:rsidRDefault="00B815E4" w:rsidP="00AB45D6">
      <w:pPr>
        <w:pStyle w:val="Heading2"/>
      </w:pPr>
      <w:r>
        <w:t>Chapter 17 – Cross-cutting issues</w:t>
      </w:r>
    </w:p>
    <w:p w14:paraId="6BF7045D" w14:textId="6C149A0F" w:rsidR="00794B85" w:rsidRPr="005D623C" w:rsidRDefault="00167BA9" w:rsidP="00A37CBD">
      <w:pPr>
        <w:pStyle w:val="Heading3"/>
      </w:pPr>
      <w:r>
        <w:t xml:space="preserve">Question 75: </w:t>
      </w:r>
      <w:r w:rsidR="00CC7061">
        <w:t>S</w:t>
      </w:r>
      <w:r w:rsidR="00CC7061" w:rsidRPr="00CC7061">
        <w:t>hould there be a provision in Part 2 about misgendering and deadnaming?</w:t>
      </w:r>
    </w:p>
    <w:p w14:paraId="1078FD93" w14:textId="70549274" w:rsidR="00A30112" w:rsidRPr="005D623C" w:rsidRDefault="00C17865" w:rsidP="00954E15">
      <w:pPr>
        <w:pStyle w:val="BodyCopy"/>
      </w:pPr>
      <w:r w:rsidRPr="005D623C">
        <w:t>The Human Rights Act should provide protection</w:t>
      </w:r>
      <w:r w:rsidR="00C874F7" w:rsidRPr="005D623C">
        <w:t xml:space="preserve"> to transgender, non-binary and intersex people</w:t>
      </w:r>
      <w:r w:rsidRPr="005D623C">
        <w:t xml:space="preserve"> from deadnaming and misgendering. Although it would likely already be considered a form of harassment we think there would be value in </w:t>
      </w:r>
      <w:r w:rsidR="008B53C1" w:rsidRPr="005D623C">
        <w:t xml:space="preserve">specifically referencing it in the Act to avoid confusion. </w:t>
      </w:r>
      <w:r w:rsidRPr="005D623C">
        <w:t xml:space="preserve">We do not necessarily </w:t>
      </w:r>
      <w:r w:rsidR="008B53C1" w:rsidRPr="005D623C">
        <w:t xml:space="preserve">believe it needs to be its own </w:t>
      </w:r>
      <w:r w:rsidR="00C635FE" w:rsidRPr="005D623C">
        <w:t>category; it could potentially be listed as part of explanatory text showing that it fits within the definition of harassment.</w:t>
      </w:r>
    </w:p>
    <w:p w14:paraId="08929915" w14:textId="6D6717E0" w:rsidR="002119D8" w:rsidRPr="002119D8" w:rsidRDefault="00C940AE" w:rsidP="00A37CBD">
      <w:pPr>
        <w:pStyle w:val="Heading3"/>
      </w:pPr>
      <w:r>
        <w:t xml:space="preserve">Question 76: </w:t>
      </w:r>
      <w:r w:rsidR="002161DA" w:rsidRPr="002161DA">
        <w:t>Should the binary language “him or her”, “his or her” and “he or she’’ in the Human Rights Act 1993 be replaced by gender-neutral language?</w:t>
      </w:r>
    </w:p>
    <w:p w14:paraId="2CC8FADE" w14:textId="194EDD43" w:rsidR="00C635FE" w:rsidRDefault="00A351BB" w:rsidP="00954E15">
      <w:pPr>
        <w:pStyle w:val="BodyCopy"/>
      </w:pPr>
      <w:r>
        <w:t xml:space="preserve">We note that the Law Commission considers replacing “him and her” with “them” in legislation to be unnecessary </w:t>
      </w:r>
      <w:r w:rsidR="00F86282">
        <w:t>as a matter of law</w:t>
      </w:r>
      <w:r w:rsidR="00237230">
        <w:t>. H</w:t>
      </w:r>
      <w:r w:rsidR="00F47C84">
        <w:t>owever</w:t>
      </w:r>
      <w:r w:rsidR="00237230">
        <w:t>,</w:t>
      </w:r>
      <w:r w:rsidR="00F47C84">
        <w:t xml:space="preserve"> </w:t>
      </w:r>
      <w:r w:rsidR="00604036">
        <w:t xml:space="preserve">as most people are unaware </w:t>
      </w:r>
      <w:r w:rsidR="00237230">
        <w:t xml:space="preserve">of the relevant clause in the Legislation Act 2019, we think </w:t>
      </w:r>
      <w:r w:rsidR="00C16224">
        <w:t>greater use of gender</w:t>
      </w:r>
      <w:r w:rsidR="00360229">
        <w:t>-</w:t>
      </w:r>
      <w:r w:rsidR="00C16224">
        <w:t xml:space="preserve">neutral language would help make it clearer to non-binary people that the law </w:t>
      </w:r>
      <w:r w:rsidR="00BC445D">
        <w:t xml:space="preserve">expressly covers them. We agree with the Commission </w:t>
      </w:r>
      <w:r w:rsidR="00592D87">
        <w:t xml:space="preserve">that it would </w:t>
      </w:r>
      <w:r w:rsidR="00592D87">
        <w:lastRenderedPageBreak/>
        <w:t xml:space="preserve">be a symbolic change. </w:t>
      </w:r>
      <w:r w:rsidR="00A02266">
        <w:t xml:space="preserve">Based on this we think that overall, taking this opportunity to replace binary language in the Act would be a positive </w:t>
      </w:r>
      <w:r w:rsidR="00BC445D">
        <w:t>step.</w:t>
      </w:r>
      <w:r w:rsidR="00C635FE">
        <w:t xml:space="preserve"> </w:t>
      </w:r>
    </w:p>
    <w:p w14:paraId="47FE1A69" w14:textId="77777777" w:rsidR="008F6F42" w:rsidRPr="006E6188" w:rsidRDefault="008F6F42" w:rsidP="00DD08C4">
      <w:pPr>
        <w:pStyle w:val="Heading1"/>
      </w:pPr>
      <w:r w:rsidRPr="006E6188">
        <w:t>Conclusion</w:t>
      </w:r>
    </w:p>
    <w:p w14:paraId="38DFDACA" w14:textId="0967C3AE" w:rsidR="008F6F42" w:rsidRDefault="008F6F42" w:rsidP="008F6F42">
      <w:pPr>
        <w:spacing w:after="120"/>
      </w:pPr>
      <w:r>
        <w:t xml:space="preserve">We appreciate the opportunity to </w:t>
      </w:r>
      <w:r w:rsidR="00C7049F">
        <w:t>participate in the review. We would be happy to discuss our feedback further with the Law Commission</w:t>
      </w:r>
      <w:r w:rsidR="0078251B">
        <w:t xml:space="preserve"> as the review progresses</w:t>
      </w:r>
      <w:r w:rsidR="00CC42DD">
        <w:t>.</w:t>
      </w:r>
    </w:p>
    <w:p w14:paraId="7ED93D23" w14:textId="77777777" w:rsidR="008F6F42" w:rsidRDefault="008F6F42" w:rsidP="008F6F42">
      <w:pPr>
        <w:spacing w:after="120"/>
      </w:pPr>
    </w:p>
    <w:p w14:paraId="6F0B6C09" w14:textId="77777777" w:rsidR="008F6F42" w:rsidRDefault="008F6F42" w:rsidP="008F6F42">
      <w:pPr>
        <w:spacing w:after="120"/>
      </w:pPr>
      <w:r>
        <w:t>For further information about this submission, please contact:</w:t>
      </w:r>
    </w:p>
    <w:p w14:paraId="243C8D15" w14:textId="77777777" w:rsidR="008F6F42" w:rsidRDefault="008F6F42" w:rsidP="008F6F42">
      <w:r>
        <w:t>Andrew McCauley</w:t>
      </w:r>
    </w:p>
    <w:p w14:paraId="41FD2330" w14:textId="77777777" w:rsidR="008F6F42" w:rsidRDefault="008F6F42" w:rsidP="008F6F42">
      <w:r>
        <w:t>Senior Advisor, Policy and Strategy</w:t>
      </w:r>
    </w:p>
    <w:p w14:paraId="273BC9FF" w14:textId="77777777" w:rsidR="008F6F42" w:rsidRDefault="008F6F42" w:rsidP="008F6F42">
      <w:r>
        <w:t>New Zealand Public Service Association</w:t>
      </w:r>
    </w:p>
    <w:p w14:paraId="3BC10225" w14:textId="77777777" w:rsidR="008F6F42" w:rsidRDefault="008F6F42" w:rsidP="008F6F42">
      <w:r>
        <w:t>PO Box 3817</w:t>
      </w:r>
    </w:p>
    <w:p w14:paraId="767C1C5B" w14:textId="77777777" w:rsidR="008F6F42" w:rsidRDefault="008F6F42" w:rsidP="008F6F42">
      <w:r>
        <w:t>Wellington 6140</w:t>
      </w:r>
    </w:p>
    <w:p w14:paraId="1258C3E0" w14:textId="77777777" w:rsidR="008F6F42" w:rsidRDefault="008F6F42" w:rsidP="008F6F42">
      <w:r>
        <w:t>Phone: 027 2712642</w:t>
      </w:r>
    </w:p>
    <w:p w14:paraId="725F22BE" w14:textId="77777777" w:rsidR="008F6F42" w:rsidRDefault="008F6F42" w:rsidP="008F6F42">
      <w:r>
        <w:t xml:space="preserve">Email: </w:t>
      </w:r>
      <w:hyperlink r:id="rId10" w:history="1">
        <w:r w:rsidRPr="00357B57">
          <w:rPr>
            <w:rStyle w:val="Hyperlink"/>
          </w:rPr>
          <w:t>andrew.mccauley@psa.org.nz</w:t>
        </w:r>
      </w:hyperlink>
    </w:p>
    <w:p w14:paraId="46C4BFF8" w14:textId="77777777" w:rsidR="008F6F42" w:rsidRDefault="008F6F42" w:rsidP="008F6F42"/>
    <w:p w14:paraId="05056B22" w14:textId="77777777" w:rsidR="008F6F42" w:rsidRDefault="008F6F42" w:rsidP="008F6F42"/>
    <w:p w14:paraId="3BEBA941" w14:textId="77777777" w:rsidR="008F6F42" w:rsidRPr="004A500D" w:rsidRDefault="008F6F42" w:rsidP="008F6F42"/>
    <w:p w14:paraId="25CC92CE" w14:textId="77777777" w:rsidR="008F6F42" w:rsidRDefault="008F6F42"/>
    <w:sectPr w:rsidR="008F6F42" w:rsidSect="002F2966">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E9743" w14:textId="77777777" w:rsidR="006F0B40" w:rsidRDefault="006F0B40" w:rsidP="002D5B55">
      <w:r>
        <w:separator/>
      </w:r>
    </w:p>
  </w:endnote>
  <w:endnote w:type="continuationSeparator" w:id="0">
    <w:p w14:paraId="43A47D02" w14:textId="77777777" w:rsidR="006F0B40" w:rsidRDefault="006F0B40" w:rsidP="002D5B55">
      <w:r>
        <w:continuationSeparator/>
      </w:r>
    </w:p>
  </w:endnote>
  <w:endnote w:type="continuationNotice" w:id="1">
    <w:p w14:paraId="2F533E00" w14:textId="77777777" w:rsidR="006F0B40" w:rsidRDefault="006F0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etropolis Light">
    <w:altName w:val="Calibri"/>
    <w:panose1 w:val="00000000000000000000"/>
    <w:charset w:val="00"/>
    <w:family w:val="modern"/>
    <w:notTrueType/>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13B86" w14:textId="60F5413D" w:rsidR="002F2966" w:rsidRDefault="00000000">
    <w:pPr>
      <w:pStyle w:val="Footer"/>
    </w:pPr>
    <w:r>
      <w:rPr>
        <w:noProof/>
        <w14:ligatures w14:val="standardContextual"/>
      </w:rPr>
      <w:pict w14:anchorId="2E79A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3pt;margin-top:707.1pt;width:595.5pt;height:63.35pt;z-index:-251658239;mso-position-horizontal-relative:margin;mso-position-vertical-relative:margin" o:allowincell="f">
          <v:imagedata r:id="rId1" o:title="OUT" croptop="60607f"/>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858C1" w14:textId="77777777" w:rsidR="006F0B40" w:rsidRDefault="006F0B40" w:rsidP="002D5B55">
      <w:r>
        <w:separator/>
      </w:r>
    </w:p>
  </w:footnote>
  <w:footnote w:type="continuationSeparator" w:id="0">
    <w:p w14:paraId="42998FF8" w14:textId="77777777" w:rsidR="006F0B40" w:rsidRDefault="006F0B40" w:rsidP="002D5B55">
      <w:r>
        <w:continuationSeparator/>
      </w:r>
    </w:p>
  </w:footnote>
  <w:footnote w:type="continuationNotice" w:id="1">
    <w:p w14:paraId="421D4A11" w14:textId="77777777" w:rsidR="006F0B40" w:rsidRDefault="006F0B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E60EF" w14:textId="3063928E" w:rsidR="002F2966" w:rsidRDefault="00000000">
    <w:pPr>
      <w:pStyle w:val="Header"/>
    </w:pPr>
    <w:r>
      <w:rPr>
        <w:noProof/>
        <w14:ligatures w14:val="standardContextual"/>
      </w:rPr>
      <w:pict w14:anchorId="2E79A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1644252" o:spid="_x0000_s1025" type="#_x0000_t75" style="position:absolute;margin-left:0;margin-top:0;width:595.5pt;height:842.25pt;z-index:-251658240;mso-position-horizontal:center;mso-position-horizontal-relative:margin;mso-position-vertical:center;mso-position-vertical-relative:margin" o:allowincell="f">
          <v:imagedata r:id="rId1" o:title="OUT"/>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4RBIRcpVY0KEdg" int2:id="2NDtILy8">
      <int2:state int2:value="Rejected" int2:type="AugLoop_Text_Critique"/>
    </int2:textHash>
    <int2:textHash int2:hashCode="M+lQXRKULoJZo8" int2:id="CkRY09aX">
      <int2:state int2:value="Rejected" int2:type="AugLoop_Text_Critique"/>
    </int2:textHash>
    <int2:textHash int2:hashCode="72j3AdUhrOq7RM" int2:id="ODfxduON">
      <int2:state int2:value="Rejected" int2:type="AugLoop_Text_Critique"/>
    </int2:textHash>
    <int2:textHash int2:hashCode="YcKYAGEOPZhLHU" int2:id="ghiJzHod">
      <int2:state int2:value="Rejected" int2:type="AugLoop_Text_Critique"/>
    </int2:textHash>
    <int2:textHash int2:hashCode="XzTE6frK42sPgf" int2:id="kBccuSJ8">
      <int2:state int2:value="Rejected" int2:type="AugLoop_Text_Critique"/>
    </int2:textHash>
    <int2:textHash int2:hashCode="lW/+T5iszZFzaV" int2:id="p5ZyMzIl">
      <int2:state int2:value="Rejected" int2:type="AugLoop_Text_Critique"/>
    </int2:textHash>
    <int2:textHash int2:hashCode="+B6QHpoiSCagWz" int2:id="qkCl8Xxh">
      <int2:state int2:value="Rejected" int2:type="AugLoop_Text_Critique"/>
    </int2:textHash>
    <int2:textHash int2:hashCode="EyVWZ6liIRqlU6" int2:id="uWB9nC64">
      <int2:state int2:value="Rejected" int2:type="AugLoop_Text_Critique"/>
    </int2:textHash>
    <int2:textHash int2:hashCode="Uogdtt3UXDd657" int2:id="xzqW55M3">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A6513"/>
    <w:multiLevelType w:val="hybridMultilevel"/>
    <w:tmpl w:val="C4C071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86D1C0A"/>
    <w:multiLevelType w:val="hybridMultilevel"/>
    <w:tmpl w:val="B48875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F426CCA"/>
    <w:multiLevelType w:val="hybridMultilevel"/>
    <w:tmpl w:val="6B5E979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5A0823A0"/>
    <w:multiLevelType w:val="hybridMultilevel"/>
    <w:tmpl w:val="C7F246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A1B312E"/>
    <w:multiLevelType w:val="hybridMultilevel"/>
    <w:tmpl w:val="B8F4E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17323160">
    <w:abstractNumId w:val="2"/>
  </w:num>
  <w:num w:numId="2" w16cid:durableId="2004891586">
    <w:abstractNumId w:val="2"/>
  </w:num>
  <w:num w:numId="3" w16cid:durableId="1693409257">
    <w:abstractNumId w:val="1"/>
  </w:num>
  <w:num w:numId="4" w16cid:durableId="1948779018">
    <w:abstractNumId w:val="3"/>
  </w:num>
  <w:num w:numId="5" w16cid:durableId="2060978255">
    <w:abstractNumId w:val="4"/>
  </w:num>
  <w:num w:numId="6" w16cid:durableId="623462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F42"/>
    <w:rsid w:val="000005E6"/>
    <w:rsid w:val="00010AFD"/>
    <w:rsid w:val="000214E1"/>
    <w:rsid w:val="00023C5A"/>
    <w:rsid w:val="00025544"/>
    <w:rsid w:val="00034AC5"/>
    <w:rsid w:val="0004163B"/>
    <w:rsid w:val="00041E28"/>
    <w:rsid w:val="00042997"/>
    <w:rsid w:val="00044DBA"/>
    <w:rsid w:val="00045D4D"/>
    <w:rsid w:val="00047F40"/>
    <w:rsid w:val="000562A1"/>
    <w:rsid w:val="00057BB8"/>
    <w:rsid w:val="000606FE"/>
    <w:rsid w:val="000621B5"/>
    <w:rsid w:val="00064FFA"/>
    <w:rsid w:val="00067693"/>
    <w:rsid w:val="0007218B"/>
    <w:rsid w:val="00077A60"/>
    <w:rsid w:val="00081AD4"/>
    <w:rsid w:val="000A18D5"/>
    <w:rsid w:val="000A542E"/>
    <w:rsid w:val="000A570A"/>
    <w:rsid w:val="000A69AA"/>
    <w:rsid w:val="000B3FF8"/>
    <w:rsid w:val="000D03C8"/>
    <w:rsid w:val="000D171F"/>
    <w:rsid w:val="000D7E34"/>
    <w:rsid w:val="000D7F86"/>
    <w:rsid w:val="000E47F0"/>
    <w:rsid w:val="000F5F4B"/>
    <w:rsid w:val="00102740"/>
    <w:rsid w:val="0011160F"/>
    <w:rsid w:val="001161DE"/>
    <w:rsid w:val="00122ECF"/>
    <w:rsid w:val="00123DF6"/>
    <w:rsid w:val="0012586C"/>
    <w:rsid w:val="0013126B"/>
    <w:rsid w:val="00137F54"/>
    <w:rsid w:val="001473D9"/>
    <w:rsid w:val="00147B58"/>
    <w:rsid w:val="00154DB8"/>
    <w:rsid w:val="00166A20"/>
    <w:rsid w:val="00167679"/>
    <w:rsid w:val="00167BA9"/>
    <w:rsid w:val="001717E3"/>
    <w:rsid w:val="00182A4E"/>
    <w:rsid w:val="00194424"/>
    <w:rsid w:val="001A376D"/>
    <w:rsid w:val="001A44EE"/>
    <w:rsid w:val="001A5521"/>
    <w:rsid w:val="001A6A3B"/>
    <w:rsid w:val="001B290E"/>
    <w:rsid w:val="001C567F"/>
    <w:rsid w:val="001D04D4"/>
    <w:rsid w:val="001D181B"/>
    <w:rsid w:val="001D5821"/>
    <w:rsid w:val="001D5EF7"/>
    <w:rsid w:val="001E085A"/>
    <w:rsid w:val="001E481E"/>
    <w:rsid w:val="001E52F7"/>
    <w:rsid w:val="001F699E"/>
    <w:rsid w:val="001F6CA9"/>
    <w:rsid w:val="002119D8"/>
    <w:rsid w:val="00213740"/>
    <w:rsid w:val="002146FD"/>
    <w:rsid w:val="00214E03"/>
    <w:rsid w:val="002161DA"/>
    <w:rsid w:val="00222C45"/>
    <w:rsid w:val="00226C65"/>
    <w:rsid w:val="002353DC"/>
    <w:rsid w:val="00237230"/>
    <w:rsid w:val="002404C0"/>
    <w:rsid w:val="00245126"/>
    <w:rsid w:val="0025059E"/>
    <w:rsid w:val="0025146E"/>
    <w:rsid w:val="002558CA"/>
    <w:rsid w:val="00260848"/>
    <w:rsid w:val="00260B4B"/>
    <w:rsid w:val="002639D3"/>
    <w:rsid w:val="002645E4"/>
    <w:rsid w:val="002704D8"/>
    <w:rsid w:val="002756F2"/>
    <w:rsid w:val="0027693C"/>
    <w:rsid w:val="00285C79"/>
    <w:rsid w:val="00294010"/>
    <w:rsid w:val="00294B6E"/>
    <w:rsid w:val="002A0A30"/>
    <w:rsid w:val="002A508A"/>
    <w:rsid w:val="002B591F"/>
    <w:rsid w:val="002C1755"/>
    <w:rsid w:val="002D0CC6"/>
    <w:rsid w:val="002D5B55"/>
    <w:rsid w:val="002E2251"/>
    <w:rsid w:val="002E4891"/>
    <w:rsid w:val="002E68D4"/>
    <w:rsid w:val="002F2966"/>
    <w:rsid w:val="002F78D6"/>
    <w:rsid w:val="00300B3E"/>
    <w:rsid w:val="00321D2B"/>
    <w:rsid w:val="00322030"/>
    <w:rsid w:val="00326A35"/>
    <w:rsid w:val="00326A85"/>
    <w:rsid w:val="00326F47"/>
    <w:rsid w:val="0033208F"/>
    <w:rsid w:val="0033539A"/>
    <w:rsid w:val="00344E24"/>
    <w:rsid w:val="00352A07"/>
    <w:rsid w:val="00352DD8"/>
    <w:rsid w:val="00356BF1"/>
    <w:rsid w:val="00360229"/>
    <w:rsid w:val="003612D9"/>
    <w:rsid w:val="00362B4A"/>
    <w:rsid w:val="00370353"/>
    <w:rsid w:val="003727C7"/>
    <w:rsid w:val="00376E6B"/>
    <w:rsid w:val="00383F62"/>
    <w:rsid w:val="003A1CA3"/>
    <w:rsid w:val="003A4D3E"/>
    <w:rsid w:val="003B344B"/>
    <w:rsid w:val="003C79E3"/>
    <w:rsid w:val="003D4AB8"/>
    <w:rsid w:val="003D55B1"/>
    <w:rsid w:val="003D6A47"/>
    <w:rsid w:val="003D6B82"/>
    <w:rsid w:val="003F1424"/>
    <w:rsid w:val="003F330F"/>
    <w:rsid w:val="003F4103"/>
    <w:rsid w:val="00401B87"/>
    <w:rsid w:val="00411D6D"/>
    <w:rsid w:val="00422608"/>
    <w:rsid w:val="004236D6"/>
    <w:rsid w:val="00430A5F"/>
    <w:rsid w:val="0043462E"/>
    <w:rsid w:val="00446F7E"/>
    <w:rsid w:val="0044738D"/>
    <w:rsid w:val="0044768C"/>
    <w:rsid w:val="004551F2"/>
    <w:rsid w:val="00456DA5"/>
    <w:rsid w:val="00457BAB"/>
    <w:rsid w:val="00463DE8"/>
    <w:rsid w:val="0047295C"/>
    <w:rsid w:val="00474357"/>
    <w:rsid w:val="00474765"/>
    <w:rsid w:val="00490A1E"/>
    <w:rsid w:val="00492E8A"/>
    <w:rsid w:val="004A0424"/>
    <w:rsid w:val="004A52A5"/>
    <w:rsid w:val="004B0450"/>
    <w:rsid w:val="004B2D65"/>
    <w:rsid w:val="004C4117"/>
    <w:rsid w:val="004C5C5A"/>
    <w:rsid w:val="004E34E8"/>
    <w:rsid w:val="004E7866"/>
    <w:rsid w:val="00505AB3"/>
    <w:rsid w:val="0051029F"/>
    <w:rsid w:val="00516B02"/>
    <w:rsid w:val="00523352"/>
    <w:rsid w:val="00530882"/>
    <w:rsid w:val="00546577"/>
    <w:rsid w:val="0055282A"/>
    <w:rsid w:val="005537DA"/>
    <w:rsid w:val="005578C7"/>
    <w:rsid w:val="0056073C"/>
    <w:rsid w:val="005832DD"/>
    <w:rsid w:val="005836E5"/>
    <w:rsid w:val="0059092E"/>
    <w:rsid w:val="00592D87"/>
    <w:rsid w:val="005A01BE"/>
    <w:rsid w:val="005A48A9"/>
    <w:rsid w:val="005B1040"/>
    <w:rsid w:val="005B543A"/>
    <w:rsid w:val="005B5F5A"/>
    <w:rsid w:val="005C6295"/>
    <w:rsid w:val="005D37AC"/>
    <w:rsid w:val="005D623C"/>
    <w:rsid w:val="005E09D1"/>
    <w:rsid w:val="005E2B6F"/>
    <w:rsid w:val="005E3AFB"/>
    <w:rsid w:val="005E3DA3"/>
    <w:rsid w:val="005E73B9"/>
    <w:rsid w:val="005E7424"/>
    <w:rsid w:val="005F165B"/>
    <w:rsid w:val="005F60B5"/>
    <w:rsid w:val="00602203"/>
    <w:rsid w:val="0060385F"/>
    <w:rsid w:val="00604036"/>
    <w:rsid w:val="006054C6"/>
    <w:rsid w:val="006071F2"/>
    <w:rsid w:val="006079FC"/>
    <w:rsid w:val="00614F14"/>
    <w:rsid w:val="0061559D"/>
    <w:rsid w:val="00622636"/>
    <w:rsid w:val="0063200D"/>
    <w:rsid w:val="00634A6A"/>
    <w:rsid w:val="00652731"/>
    <w:rsid w:val="00656D3C"/>
    <w:rsid w:val="006578CD"/>
    <w:rsid w:val="00662114"/>
    <w:rsid w:val="0066255A"/>
    <w:rsid w:val="006631C0"/>
    <w:rsid w:val="006746E3"/>
    <w:rsid w:val="00675DCB"/>
    <w:rsid w:val="006818E8"/>
    <w:rsid w:val="00681E0E"/>
    <w:rsid w:val="0069445F"/>
    <w:rsid w:val="006A521B"/>
    <w:rsid w:val="006A5D02"/>
    <w:rsid w:val="006D0B2F"/>
    <w:rsid w:val="006D3160"/>
    <w:rsid w:val="006D5E76"/>
    <w:rsid w:val="006E1851"/>
    <w:rsid w:val="006E6188"/>
    <w:rsid w:val="006F0B40"/>
    <w:rsid w:val="006F0FC4"/>
    <w:rsid w:val="006F1E5F"/>
    <w:rsid w:val="006F48A0"/>
    <w:rsid w:val="006F789E"/>
    <w:rsid w:val="00700AAE"/>
    <w:rsid w:val="007010CE"/>
    <w:rsid w:val="00703313"/>
    <w:rsid w:val="00704AAC"/>
    <w:rsid w:val="007071AD"/>
    <w:rsid w:val="00716E0A"/>
    <w:rsid w:val="007172BD"/>
    <w:rsid w:val="00723CA2"/>
    <w:rsid w:val="007351B6"/>
    <w:rsid w:val="00737817"/>
    <w:rsid w:val="0074064B"/>
    <w:rsid w:val="00751EA7"/>
    <w:rsid w:val="00752DBA"/>
    <w:rsid w:val="007551EC"/>
    <w:rsid w:val="00764C40"/>
    <w:rsid w:val="007710DF"/>
    <w:rsid w:val="0078251B"/>
    <w:rsid w:val="00782759"/>
    <w:rsid w:val="00794B85"/>
    <w:rsid w:val="00796D98"/>
    <w:rsid w:val="00796E9A"/>
    <w:rsid w:val="00797C78"/>
    <w:rsid w:val="007A4B04"/>
    <w:rsid w:val="007B26F1"/>
    <w:rsid w:val="007B31EC"/>
    <w:rsid w:val="007C5558"/>
    <w:rsid w:val="007D0D6D"/>
    <w:rsid w:val="007D6D13"/>
    <w:rsid w:val="007E5C15"/>
    <w:rsid w:val="007E68F5"/>
    <w:rsid w:val="007F0DFD"/>
    <w:rsid w:val="007F0ECD"/>
    <w:rsid w:val="007F1AAE"/>
    <w:rsid w:val="007F6051"/>
    <w:rsid w:val="0080437A"/>
    <w:rsid w:val="00813E08"/>
    <w:rsid w:val="00814F18"/>
    <w:rsid w:val="00826CF1"/>
    <w:rsid w:val="00835FE3"/>
    <w:rsid w:val="008444F0"/>
    <w:rsid w:val="0086510C"/>
    <w:rsid w:val="008651C2"/>
    <w:rsid w:val="00875472"/>
    <w:rsid w:val="00877109"/>
    <w:rsid w:val="00892B1F"/>
    <w:rsid w:val="00897B89"/>
    <w:rsid w:val="008A469F"/>
    <w:rsid w:val="008A615A"/>
    <w:rsid w:val="008B2482"/>
    <w:rsid w:val="008B53C1"/>
    <w:rsid w:val="008B65E2"/>
    <w:rsid w:val="008C4864"/>
    <w:rsid w:val="008C5590"/>
    <w:rsid w:val="008E6DF0"/>
    <w:rsid w:val="008E7316"/>
    <w:rsid w:val="008F6862"/>
    <w:rsid w:val="008F6F42"/>
    <w:rsid w:val="0090664F"/>
    <w:rsid w:val="00907397"/>
    <w:rsid w:val="009078D0"/>
    <w:rsid w:val="00912871"/>
    <w:rsid w:val="00915B31"/>
    <w:rsid w:val="00916F77"/>
    <w:rsid w:val="0092181C"/>
    <w:rsid w:val="00922C10"/>
    <w:rsid w:val="00923BC1"/>
    <w:rsid w:val="00927442"/>
    <w:rsid w:val="00946BC9"/>
    <w:rsid w:val="0095009A"/>
    <w:rsid w:val="00954D21"/>
    <w:rsid w:val="00954E15"/>
    <w:rsid w:val="00956F1E"/>
    <w:rsid w:val="0096159D"/>
    <w:rsid w:val="00966218"/>
    <w:rsid w:val="00972E0F"/>
    <w:rsid w:val="0098070E"/>
    <w:rsid w:val="00983B51"/>
    <w:rsid w:val="0098532A"/>
    <w:rsid w:val="00997526"/>
    <w:rsid w:val="009A1F14"/>
    <w:rsid w:val="009A7E7D"/>
    <w:rsid w:val="009B4963"/>
    <w:rsid w:val="009B5D05"/>
    <w:rsid w:val="009D26D6"/>
    <w:rsid w:val="009D3136"/>
    <w:rsid w:val="009E4444"/>
    <w:rsid w:val="009F1353"/>
    <w:rsid w:val="009F527C"/>
    <w:rsid w:val="00A02266"/>
    <w:rsid w:val="00A025D0"/>
    <w:rsid w:val="00A05BE1"/>
    <w:rsid w:val="00A16C60"/>
    <w:rsid w:val="00A26DB9"/>
    <w:rsid w:val="00A30112"/>
    <w:rsid w:val="00A30E08"/>
    <w:rsid w:val="00A32625"/>
    <w:rsid w:val="00A34ADF"/>
    <w:rsid w:val="00A351BB"/>
    <w:rsid w:val="00A37564"/>
    <w:rsid w:val="00A37CBD"/>
    <w:rsid w:val="00A37E5F"/>
    <w:rsid w:val="00A46A6C"/>
    <w:rsid w:val="00A62411"/>
    <w:rsid w:val="00A75D68"/>
    <w:rsid w:val="00A76BCD"/>
    <w:rsid w:val="00A83193"/>
    <w:rsid w:val="00A95D14"/>
    <w:rsid w:val="00A96A31"/>
    <w:rsid w:val="00AA6731"/>
    <w:rsid w:val="00AB45D6"/>
    <w:rsid w:val="00AB5B27"/>
    <w:rsid w:val="00AC060C"/>
    <w:rsid w:val="00AC3F54"/>
    <w:rsid w:val="00AC7D8A"/>
    <w:rsid w:val="00AD06FE"/>
    <w:rsid w:val="00AD0D2D"/>
    <w:rsid w:val="00AD1042"/>
    <w:rsid w:val="00AD235F"/>
    <w:rsid w:val="00AD79FB"/>
    <w:rsid w:val="00AF4784"/>
    <w:rsid w:val="00AF581C"/>
    <w:rsid w:val="00B05B1E"/>
    <w:rsid w:val="00B100B0"/>
    <w:rsid w:val="00B16911"/>
    <w:rsid w:val="00B21EFA"/>
    <w:rsid w:val="00B32842"/>
    <w:rsid w:val="00B34AB6"/>
    <w:rsid w:val="00B37A3B"/>
    <w:rsid w:val="00B611D8"/>
    <w:rsid w:val="00B61865"/>
    <w:rsid w:val="00B6722C"/>
    <w:rsid w:val="00B7514D"/>
    <w:rsid w:val="00B815E4"/>
    <w:rsid w:val="00B86A9A"/>
    <w:rsid w:val="00B91914"/>
    <w:rsid w:val="00BA1EFA"/>
    <w:rsid w:val="00BA5D10"/>
    <w:rsid w:val="00BB36FA"/>
    <w:rsid w:val="00BB5B9A"/>
    <w:rsid w:val="00BB72BB"/>
    <w:rsid w:val="00BC0D38"/>
    <w:rsid w:val="00BC3A9C"/>
    <w:rsid w:val="00BC445D"/>
    <w:rsid w:val="00BC6803"/>
    <w:rsid w:val="00BD2E74"/>
    <w:rsid w:val="00BD514B"/>
    <w:rsid w:val="00BE3BBF"/>
    <w:rsid w:val="00BE6FA0"/>
    <w:rsid w:val="00C00B74"/>
    <w:rsid w:val="00C00CA2"/>
    <w:rsid w:val="00C0160F"/>
    <w:rsid w:val="00C02142"/>
    <w:rsid w:val="00C0302C"/>
    <w:rsid w:val="00C10BAA"/>
    <w:rsid w:val="00C16224"/>
    <w:rsid w:val="00C17865"/>
    <w:rsid w:val="00C22109"/>
    <w:rsid w:val="00C27085"/>
    <w:rsid w:val="00C340FA"/>
    <w:rsid w:val="00C36850"/>
    <w:rsid w:val="00C37D49"/>
    <w:rsid w:val="00C54596"/>
    <w:rsid w:val="00C56444"/>
    <w:rsid w:val="00C604DD"/>
    <w:rsid w:val="00C62F7D"/>
    <w:rsid w:val="00C635FE"/>
    <w:rsid w:val="00C7049F"/>
    <w:rsid w:val="00C713BC"/>
    <w:rsid w:val="00C83C4E"/>
    <w:rsid w:val="00C846BA"/>
    <w:rsid w:val="00C874F7"/>
    <w:rsid w:val="00C940AE"/>
    <w:rsid w:val="00C96968"/>
    <w:rsid w:val="00CA654A"/>
    <w:rsid w:val="00CB2D10"/>
    <w:rsid w:val="00CB54B6"/>
    <w:rsid w:val="00CB6D41"/>
    <w:rsid w:val="00CC1347"/>
    <w:rsid w:val="00CC2B08"/>
    <w:rsid w:val="00CC42DD"/>
    <w:rsid w:val="00CC7061"/>
    <w:rsid w:val="00CC7D05"/>
    <w:rsid w:val="00CD0252"/>
    <w:rsid w:val="00CD2AEF"/>
    <w:rsid w:val="00CD65AF"/>
    <w:rsid w:val="00CE1452"/>
    <w:rsid w:val="00CE188A"/>
    <w:rsid w:val="00CE18B3"/>
    <w:rsid w:val="00CE27E2"/>
    <w:rsid w:val="00CF1CD7"/>
    <w:rsid w:val="00CF23A1"/>
    <w:rsid w:val="00D02203"/>
    <w:rsid w:val="00D04427"/>
    <w:rsid w:val="00D1324A"/>
    <w:rsid w:val="00D13D15"/>
    <w:rsid w:val="00D14A9A"/>
    <w:rsid w:val="00D15D4B"/>
    <w:rsid w:val="00D168D5"/>
    <w:rsid w:val="00D26F1F"/>
    <w:rsid w:val="00D26FAE"/>
    <w:rsid w:val="00D31EB1"/>
    <w:rsid w:val="00D3396C"/>
    <w:rsid w:val="00D36086"/>
    <w:rsid w:val="00D37711"/>
    <w:rsid w:val="00D51760"/>
    <w:rsid w:val="00D539D7"/>
    <w:rsid w:val="00D60161"/>
    <w:rsid w:val="00D61B26"/>
    <w:rsid w:val="00D63C1A"/>
    <w:rsid w:val="00D663F1"/>
    <w:rsid w:val="00D723D8"/>
    <w:rsid w:val="00D730C9"/>
    <w:rsid w:val="00D73E1B"/>
    <w:rsid w:val="00D77E5A"/>
    <w:rsid w:val="00D8154C"/>
    <w:rsid w:val="00D82E06"/>
    <w:rsid w:val="00D9162B"/>
    <w:rsid w:val="00D979DF"/>
    <w:rsid w:val="00DB6064"/>
    <w:rsid w:val="00DC68CE"/>
    <w:rsid w:val="00DD08C4"/>
    <w:rsid w:val="00DD115B"/>
    <w:rsid w:val="00DE5C55"/>
    <w:rsid w:val="00DF1FC0"/>
    <w:rsid w:val="00E07CD0"/>
    <w:rsid w:val="00E15783"/>
    <w:rsid w:val="00E16AC5"/>
    <w:rsid w:val="00E172F8"/>
    <w:rsid w:val="00E17EEC"/>
    <w:rsid w:val="00E203C4"/>
    <w:rsid w:val="00E236B5"/>
    <w:rsid w:val="00E23BF8"/>
    <w:rsid w:val="00E267A1"/>
    <w:rsid w:val="00E3213D"/>
    <w:rsid w:val="00E35BEB"/>
    <w:rsid w:val="00E40A20"/>
    <w:rsid w:val="00E46ACF"/>
    <w:rsid w:val="00E52B00"/>
    <w:rsid w:val="00E52FB3"/>
    <w:rsid w:val="00E76A6A"/>
    <w:rsid w:val="00E90B4F"/>
    <w:rsid w:val="00E96699"/>
    <w:rsid w:val="00EA3188"/>
    <w:rsid w:val="00EA4200"/>
    <w:rsid w:val="00EB5617"/>
    <w:rsid w:val="00EB76DE"/>
    <w:rsid w:val="00EC4429"/>
    <w:rsid w:val="00ED2E23"/>
    <w:rsid w:val="00ED5F01"/>
    <w:rsid w:val="00ED642C"/>
    <w:rsid w:val="00ED6879"/>
    <w:rsid w:val="00ED6F62"/>
    <w:rsid w:val="00EE7CB8"/>
    <w:rsid w:val="00EE7D91"/>
    <w:rsid w:val="00EF23C1"/>
    <w:rsid w:val="00EF4F93"/>
    <w:rsid w:val="00F0280F"/>
    <w:rsid w:val="00F0436A"/>
    <w:rsid w:val="00F04BEA"/>
    <w:rsid w:val="00F050E5"/>
    <w:rsid w:val="00F104F6"/>
    <w:rsid w:val="00F15324"/>
    <w:rsid w:val="00F202D0"/>
    <w:rsid w:val="00F314BA"/>
    <w:rsid w:val="00F43365"/>
    <w:rsid w:val="00F44559"/>
    <w:rsid w:val="00F4473D"/>
    <w:rsid w:val="00F47C84"/>
    <w:rsid w:val="00F568B3"/>
    <w:rsid w:val="00F571C0"/>
    <w:rsid w:val="00F665C7"/>
    <w:rsid w:val="00F86282"/>
    <w:rsid w:val="00F928D9"/>
    <w:rsid w:val="00F93419"/>
    <w:rsid w:val="00FA710E"/>
    <w:rsid w:val="00FB6417"/>
    <w:rsid w:val="00FB7184"/>
    <w:rsid w:val="00FC36B7"/>
    <w:rsid w:val="00FC4C0B"/>
    <w:rsid w:val="00FC596A"/>
    <w:rsid w:val="00FE05A3"/>
    <w:rsid w:val="01AAA0F8"/>
    <w:rsid w:val="0343F6E6"/>
    <w:rsid w:val="03935658"/>
    <w:rsid w:val="04788EED"/>
    <w:rsid w:val="05084C0B"/>
    <w:rsid w:val="05111493"/>
    <w:rsid w:val="0547B8AD"/>
    <w:rsid w:val="06212098"/>
    <w:rsid w:val="08F0214E"/>
    <w:rsid w:val="09394326"/>
    <w:rsid w:val="0C42AA96"/>
    <w:rsid w:val="0EA2D7C5"/>
    <w:rsid w:val="0F42B554"/>
    <w:rsid w:val="10B576EE"/>
    <w:rsid w:val="124283D2"/>
    <w:rsid w:val="13C554FB"/>
    <w:rsid w:val="16493578"/>
    <w:rsid w:val="165D4CD2"/>
    <w:rsid w:val="19160DA8"/>
    <w:rsid w:val="19D71C17"/>
    <w:rsid w:val="1A27DBF1"/>
    <w:rsid w:val="1B61E115"/>
    <w:rsid w:val="1F56EC3B"/>
    <w:rsid w:val="20D84D0B"/>
    <w:rsid w:val="20E96B03"/>
    <w:rsid w:val="22C490C9"/>
    <w:rsid w:val="24AA2EAB"/>
    <w:rsid w:val="25A465FC"/>
    <w:rsid w:val="28706D05"/>
    <w:rsid w:val="294EF25E"/>
    <w:rsid w:val="29768767"/>
    <w:rsid w:val="2A9B3C6F"/>
    <w:rsid w:val="2AD8E62D"/>
    <w:rsid w:val="2B9A1318"/>
    <w:rsid w:val="2E0D14C6"/>
    <w:rsid w:val="2EDDC242"/>
    <w:rsid w:val="2FF22F0C"/>
    <w:rsid w:val="310AA578"/>
    <w:rsid w:val="312856D8"/>
    <w:rsid w:val="3332FF21"/>
    <w:rsid w:val="344C9CD3"/>
    <w:rsid w:val="358249F2"/>
    <w:rsid w:val="37DA9B49"/>
    <w:rsid w:val="37FBB4FE"/>
    <w:rsid w:val="3817F472"/>
    <w:rsid w:val="387B7BEA"/>
    <w:rsid w:val="3979245D"/>
    <w:rsid w:val="3A0750DB"/>
    <w:rsid w:val="3B7FF64D"/>
    <w:rsid w:val="3CA5BFEA"/>
    <w:rsid w:val="4122DD38"/>
    <w:rsid w:val="4394CCB8"/>
    <w:rsid w:val="47E74914"/>
    <w:rsid w:val="4BB34128"/>
    <w:rsid w:val="4DE1CD1F"/>
    <w:rsid w:val="4EE500B0"/>
    <w:rsid w:val="4F6E2298"/>
    <w:rsid w:val="507EEFE0"/>
    <w:rsid w:val="51BD58BF"/>
    <w:rsid w:val="57925173"/>
    <w:rsid w:val="5A9A9195"/>
    <w:rsid w:val="5B6D041B"/>
    <w:rsid w:val="5D07C8B2"/>
    <w:rsid w:val="5F785797"/>
    <w:rsid w:val="60BFDC1A"/>
    <w:rsid w:val="61CAEEB0"/>
    <w:rsid w:val="637C9521"/>
    <w:rsid w:val="67E52FF2"/>
    <w:rsid w:val="6A0B4E24"/>
    <w:rsid w:val="6A3B7272"/>
    <w:rsid w:val="6D9175DE"/>
    <w:rsid w:val="71313ADE"/>
    <w:rsid w:val="71D0429C"/>
    <w:rsid w:val="72613495"/>
    <w:rsid w:val="72BFC5F2"/>
    <w:rsid w:val="734D6BBF"/>
    <w:rsid w:val="73E2A87D"/>
    <w:rsid w:val="74726970"/>
    <w:rsid w:val="7750F104"/>
    <w:rsid w:val="7891AD85"/>
    <w:rsid w:val="7B6D6404"/>
    <w:rsid w:val="7B987F31"/>
    <w:rsid w:val="7BA72654"/>
    <w:rsid w:val="7CD015A5"/>
    <w:rsid w:val="7D43066A"/>
    <w:rsid w:val="7D8167D8"/>
    <w:rsid w:val="7DB28A67"/>
    <w:rsid w:val="7DCA7D67"/>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B51BF"/>
  <w15:chartTrackingRefBased/>
  <w15:docId w15:val="{B4C7EFB0-33B0-4DFD-BAB4-24875763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ajorEastAsia" w:hAnsi="Calibri Light" w:cstheme="majorBidi"/>
        <w:kern w:val="2"/>
        <w:sz w:val="22"/>
        <w:szCs w:val="50"/>
        <w:lang w:val="en-NZ"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F42"/>
    <w:pPr>
      <w:spacing w:after="0" w:line="240" w:lineRule="auto"/>
    </w:pPr>
    <w:rPr>
      <w:rFonts w:ascii="Calibri" w:eastAsia="Calibri" w:hAnsi="Calibri" w:cs="Times New Roman"/>
      <w:kern w:val="0"/>
      <w:szCs w:val="22"/>
      <w:lang w:eastAsia="en-US" w:bidi="ar-SA"/>
      <w14:ligatures w14:val="none"/>
    </w:rPr>
  </w:style>
  <w:style w:type="paragraph" w:styleId="Heading1">
    <w:name w:val="heading 1"/>
    <w:basedOn w:val="Normal"/>
    <w:next w:val="Normal"/>
    <w:link w:val="Heading1Char"/>
    <w:qFormat/>
    <w:rsid w:val="00DD08C4"/>
    <w:pPr>
      <w:keepNext/>
      <w:keepLines/>
      <w:spacing w:before="360" w:after="80"/>
      <w:outlineLvl w:val="0"/>
    </w:pPr>
    <w:rPr>
      <w:color w:val="435597"/>
      <w:sz w:val="36"/>
      <w:szCs w:val="36"/>
    </w:rPr>
  </w:style>
  <w:style w:type="paragraph" w:styleId="Heading2">
    <w:name w:val="heading 2"/>
    <w:basedOn w:val="Normal"/>
    <w:next w:val="Normal"/>
    <w:link w:val="Heading2Char"/>
    <w:uiPriority w:val="9"/>
    <w:unhideWhenUsed/>
    <w:qFormat/>
    <w:rsid w:val="00AB45D6"/>
    <w:pPr>
      <w:keepNext/>
      <w:keepLines/>
      <w:spacing w:before="240" w:after="80"/>
      <w:outlineLvl w:val="1"/>
    </w:pPr>
    <w:rPr>
      <w:b/>
      <w:bCs/>
      <w:color w:val="677ABC"/>
      <w:sz w:val="28"/>
      <w:szCs w:val="40"/>
    </w:rPr>
  </w:style>
  <w:style w:type="paragraph" w:styleId="Heading3">
    <w:name w:val="heading 3"/>
    <w:basedOn w:val="Normal"/>
    <w:next w:val="Normal"/>
    <w:link w:val="Heading3Char"/>
    <w:uiPriority w:val="9"/>
    <w:unhideWhenUsed/>
    <w:qFormat/>
    <w:rsid w:val="00A37CBD"/>
    <w:pPr>
      <w:keepNext/>
      <w:keepLines/>
      <w:spacing w:before="240" w:after="80"/>
      <w:outlineLvl w:val="2"/>
    </w:pPr>
    <w:rPr>
      <w:rFonts w:ascii="Calibri Light" w:hAnsi="Calibri Light" w:cs="Calibri Light"/>
      <w:b/>
      <w:bCs/>
      <w:i/>
    </w:rPr>
  </w:style>
  <w:style w:type="paragraph" w:styleId="Heading4">
    <w:name w:val="heading 4"/>
    <w:basedOn w:val="Normal"/>
    <w:next w:val="Normal"/>
    <w:link w:val="Heading4Char"/>
    <w:uiPriority w:val="9"/>
    <w:unhideWhenUsed/>
    <w:qFormat/>
    <w:rsid w:val="003A1CA3"/>
    <w:pPr>
      <w:keepNext/>
      <w:keepLines/>
      <w:spacing w:before="80" w:after="40"/>
      <w:outlineLvl w:val="3"/>
    </w:pPr>
    <w:rPr>
      <w:i/>
      <w:iCs/>
    </w:rPr>
  </w:style>
  <w:style w:type="paragraph" w:styleId="Heading5">
    <w:name w:val="heading 5"/>
    <w:basedOn w:val="Normal"/>
    <w:next w:val="Normal"/>
    <w:link w:val="Heading5Char"/>
    <w:uiPriority w:val="9"/>
    <w:semiHidden/>
    <w:unhideWhenUsed/>
    <w:qFormat/>
    <w:rsid w:val="008F6F42"/>
    <w:pPr>
      <w:keepNext/>
      <w:keepLines/>
      <w:spacing w:before="80" w:after="40"/>
      <w:outlineLvl w:val="4"/>
    </w:pPr>
    <w:rPr>
      <w:rFonts w:asciiTheme="minorHAnsi" w:hAnsiTheme="minorHAnsi"/>
      <w:color w:val="0F4761" w:themeColor="accent1" w:themeShade="BF"/>
    </w:rPr>
  </w:style>
  <w:style w:type="paragraph" w:styleId="Heading6">
    <w:name w:val="heading 6"/>
    <w:basedOn w:val="Normal"/>
    <w:next w:val="Normal"/>
    <w:link w:val="Heading6Char"/>
    <w:uiPriority w:val="9"/>
    <w:semiHidden/>
    <w:unhideWhenUsed/>
    <w:qFormat/>
    <w:rsid w:val="008F6F42"/>
    <w:pPr>
      <w:keepNext/>
      <w:keepLines/>
      <w:spacing w:before="40"/>
      <w:outlineLvl w:val="5"/>
    </w:pPr>
    <w:rPr>
      <w:rFonts w:asciiTheme="minorHAnsi" w:hAnsiTheme="minorHAnsi"/>
      <w:i/>
      <w:iCs/>
      <w:color w:val="595959" w:themeColor="text1" w:themeTint="A6"/>
    </w:rPr>
  </w:style>
  <w:style w:type="paragraph" w:styleId="Heading7">
    <w:name w:val="heading 7"/>
    <w:basedOn w:val="Normal"/>
    <w:next w:val="Normal"/>
    <w:link w:val="Heading7Char"/>
    <w:uiPriority w:val="9"/>
    <w:semiHidden/>
    <w:unhideWhenUsed/>
    <w:qFormat/>
    <w:rsid w:val="008F6F42"/>
    <w:pPr>
      <w:keepNext/>
      <w:keepLines/>
      <w:spacing w:before="40"/>
      <w:outlineLvl w:val="6"/>
    </w:pPr>
    <w:rPr>
      <w:rFonts w:asciiTheme="minorHAnsi" w:hAnsiTheme="minorHAnsi"/>
      <w:color w:val="595959" w:themeColor="text1" w:themeTint="A6"/>
    </w:rPr>
  </w:style>
  <w:style w:type="paragraph" w:styleId="Heading8">
    <w:name w:val="heading 8"/>
    <w:basedOn w:val="Normal"/>
    <w:next w:val="Normal"/>
    <w:link w:val="Heading8Char"/>
    <w:uiPriority w:val="9"/>
    <w:semiHidden/>
    <w:unhideWhenUsed/>
    <w:qFormat/>
    <w:rsid w:val="008F6F42"/>
    <w:pPr>
      <w:keepNext/>
      <w:keepLines/>
      <w:outlineLvl w:val="7"/>
    </w:pPr>
    <w:rPr>
      <w:rFonts w:asciiTheme="minorHAnsi" w:hAnsiTheme="minorHAnsi"/>
      <w:i/>
      <w:iCs/>
      <w:color w:val="272727" w:themeColor="text1" w:themeTint="D8"/>
    </w:rPr>
  </w:style>
  <w:style w:type="paragraph" w:styleId="Heading9">
    <w:name w:val="heading 9"/>
    <w:basedOn w:val="Normal"/>
    <w:next w:val="Normal"/>
    <w:link w:val="Heading9Char"/>
    <w:uiPriority w:val="9"/>
    <w:semiHidden/>
    <w:unhideWhenUsed/>
    <w:qFormat/>
    <w:rsid w:val="008F6F42"/>
    <w:pPr>
      <w:keepNext/>
      <w:keepLines/>
      <w:outlineLvl w:val="8"/>
    </w:pPr>
    <w:rPr>
      <w:rFonts w:asciiTheme="minorHAnsi"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08C4"/>
    <w:rPr>
      <w:rFonts w:ascii="Calibri" w:eastAsia="Calibri" w:hAnsi="Calibri" w:cs="Times New Roman"/>
      <w:color w:val="435597"/>
      <w:kern w:val="0"/>
      <w:sz w:val="36"/>
      <w:szCs w:val="36"/>
      <w:lang w:eastAsia="en-US" w:bidi="ar-SA"/>
      <w14:ligatures w14:val="none"/>
    </w:rPr>
  </w:style>
  <w:style w:type="character" w:customStyle="1" w:styleId="Heading2Char">
    <w:name w:val="Heading 2 Char"/>
    <w:basedOn w:val="DefaultParagraphFont"/>
    <w:link w:val="Heading2"/>
    <w:uiPriority w:val="9"/>
    <w:rsid w:val="00AB45D6"/>
    <w:rPr>
      <w:rFonts w:ascii="Calibri" w:eastAsia="Calibri" w:hAnsi="Calibri" w:cs="Times New Roman"/>
      <w:b/>
      <w:bCs/>
      <w:color w:val="677ABC"/>
      <w:kern w:val="0"/>
      <w:sz w:val="28"/>
      <w:szCs w:val="40"/>
      <w:lang w:eastAsia="en-US" w:bidi="ar-SA"/>
      <w14:ligatures w14:val="none"/>
    </w:rPr>
  </w:style>
  <w:style w:type="character" w:customStyle="1" w:styleId="Heading3Char">
    <w:name w:val="Heading 3 Char"/>
    <w:basedOn w:val="DefaultParagraphFont"/>
    <w:link w:val="Heading3"/>
    <w:uiPriority w:val="9"/>
    <w:rsid w:val="00A37CBD"/>
    <w:rPr>
      <w:rFonts w:eastAsia="Calibri" w:cs="Calibri Light"/>
      <w:b/>
      <w:bCs/>
      <w:i/>
      <w:kern w:val="0"/>
      <w:szCs w:val="22"/>
      <w:lang w:eastAsia="en-US" w:bidi="ar-SA"/>
      <w14:ligatures w14:val="none"/>
    </w:rPr>
  </w:style>
  <w:style w:type="paragraph" w:styleId="Title">
    <w:name w:val="Title"/>
    <w:basedOn w:val="Normal"/>
    <w:next w:val="Normal"/>
    <w:link w:val="TitleChar"/>
    <w:uiPriority w:val="10"/>
    <w:qFormat/>
    <w:rsid w:val="003A1CA3"/>
    <w:pPr>
      <w:spacing w:after="80"/>
      <w:contextualSpacing/>
    </w:pPr>
    <w:rPr>
      <w:spacing w:val="-10"/>
      <w:kern w:val="28"/>
      <w:sz w:val="56"/>
      <w:szCs w:val="71"/>
    </w:rPr>
  </w:style>
  <w:style w:type="character" w:customStyle="1" w:styleId="TitleChar">
    <w:name w:val="Title Char"/>
    <w:basedOn w:val="DefaultParagraphFont"/>
    <w:link w:val="Title"/>
    <w:uiPriority w:val="10"/>
    <w:rsid w:val="003A1CA3"/>
    <w:rPr>
      <w:spacing w:val="-10"/>
      <w:kern w:val="28"/>
      <w:sz w:val="56"/>
      <w:szCs w:val="71"/>
    </w:rPr>
  </w:style>
  <w:style w:type="character" w:customStyle="1" w:styleId="Heading4Char">
    <w:name w:val="Heading 4 Char"/>
    <w:basedOn w:val="DefaultParagraphFont"/>
    <w:link w:val="Heading4"/>
    <w:uiPriority w:val="9"/>
    <w:rsid w:val="003A1CA3"/>
    <w:rPr>
      <w:i/>
      <w:iCs/>
    </w:rPr>
  </w:style>
  <w:style w:type="paragraph" w:styleId="Subtitle">
    <w:name w:val="Subtitle"/>
    <w:basedOn w:val="Normal"/>
    <w:next w:val="Normal"/>
    <w:link w:val="SubtitleChar"/>
    <w:uiPriority w:val="11"/>
    <w:qFormat/>
    <w:rsid w:val="003A1CA3"/>
    <w:pPr>
      <w:numPr>
        <w:ilvl w:val="1"/>
      </w:numPr>
    </w:pPr>
    <w:rPr>
      <w:spacing w:val="15"/>
      <w:sz w:val="28"/>
      <w:szCs w:val="35"/>
    </w:rPr>
  </w:style>
  <w:style w:type="character" w:customStyle="1" w:styleId="SubtitleChar">
    <w:name w:val="Subtitle Char"/>
    <w:basedOn w:val="DefaultParagraphFont"/>
    <w:link w:val="Subtitle"/>
    <w:uiPriority w:val="11"/>
    <w:rsid w:val="003A1CA3"/>
    <w:rPr>
      <w:spacing w:val="15"/>
      <w:sz w:val="28"/>
      <w:szCs w:val="35"/>
    </w:rPr>
  </w:style>
  <w:style w:type="character" w:customStyle="1" w:styleId="Heading5Char">
    <w:name w:val="Heading 5 Char"/>
    <w:basedOn w:val="DefaultParagraphFont"/>
    <w:link w:val="Heading5"/>
    <w:uiPriority w:val="9"/>
    <w:semiHidden/>
    <w:rsid w:val="008F6F42"/>
    <w:rPr>
      <w:rFonts w:asciiTheme="minorHAnsi" w:hAnsiTheme="minorHAnsi"/>
      <w:color w:val="0F4761" w:themeColor="accent1" w:themeShade="BF"/>
    </w:rPr>
  </w:style>
  <w:style w:type="character" w:customStyle="1" w:styleId="Heading6Char">
    <w:name w:val="Heading 6 Char"/>
    <w:basedOn w:val="DefaultParagraphFont"/>
    <w:link w:val="Heading6"/>
    <w:uiPriority w:val="9"/>
    <w:semiHidden/>
    <w:rsid w:val="008F6F42"/>
    <w:rPr>
      <w:rFonts w:asciiTheme="minorHAnsi" w:hAnsiTheme="minorHAnsi"/>
      <w:i/>
      <w:iCs/>
      <w:color w:val="595959" w:themeColor="text1" w:themeTint="A6"/>
    </w:rPr>
  </w:style>
  <w:style w:type="character" w:customStyle="1" w:styleId="Heading7Char">
    <w:name w:val="Heading 7 Char"/>
    <w:basedOn w:val="DefaultParagraphFont"/>
    <w:link w:val="Heading7"/>
    <w:uiPriority w:val="9"/>
    <w:semiHidden/>
    <w:rsid w:val="008F6F42"/>
    <w:rPr>
      <w:rFonts w:asciiTheme="minorHAnsi" w:hAnsiTheme="minorHAnsi"/>
      <w:color w:val="595959" w:themeColor="text1" w:themeTint="A6"/>
    </w:rPr>
  </w:style>
  <w:style w:type="character" w:customStyle="1" w:styleId="Heading8Char">
    <w:name w:val="Heading 8 Char"/>
    <w:basedOn w:val="DefaultParagraphFont"/>
    <w:link w:val="Heading8"/>
    <w:uiPriority w:val="9"/>
    <w:semiHidden/>
    <w:rsid w:val="008F6F42"/>
    <w:rPr>
      <w:rFonts w:asciiTheme="minorHAnsi" w:hAnsiTheme="minorHAnsi"/>
      <w:i/>
      <w:iCs/>
      <w:color w:val="272727" w:themeColor="text1" w:themeTint="D8"/>
    </w:rPr>
  </w:style>
  <w:style w:type="character" w:customStyle="1" w:styleId="Heading9Char">
    <w:name w:val="Heading 9 Char"/>
    <w:basedOn w:val="DefaultParagraphFont"/>
    <w:link w:val="Heading9"/>
    <w:uiPriority w:val="9"/>
    <w:semiHidden/>
    <w:rsid w:val="008F6F42"/>
    <w:rPr>
      <w:rFonts w:asciiTheme="minorHAnsi" w:hAnsiTheme="minorHAnsi"/>
      <w:color w:val="272727" w:themeColor="text1" w:themeTint="D8"/>
    </w:rPr>
  </w:style>
  <w:style w:type="paragraph" w:styleId="Quote">
    <w:name w:val="Quote"/>
    <w:basedOn w:val="Normal"/>
    <w:next w:val="Normal"/>
    <w:link w:val="QuoteChar"/>
    <w:uiPriority w:val="29"/>
    <w:qFormat/>
    <w:rsid w:val="008F6F42"/>
    <w:pPr>
      <w:spacing w:before="160"/>
      <w:jc w:val="center"/>
    </w:pPr>
    <w:rPr>
      <w:i/>
      <w:iCs/>
      <w:color w:val="404040" w:themeColor="text1" w:themeTint="BF"/>
    </w:rPr>
  </w:style>
  <w:style w:type="character" w:customStyle="1" w:styleId="QuoteChar">
    <w:name w:val="Quote Char"/>
    <w:basedOn w:val="DefaultParagraphFont"/>
    <w:link w:val="Quote"/>
    <w:uiPriority w:val="29"/>
    <w:rsid w:val="008F6F42"/>
    <w:rPr>
      <w:i/>
      <w:iCs/>
      <w:color w:val="404040" w:themeColor="text1" w:themeTint="BF"/>
    </w:rPr>
  </w:style>
  <w:style w:type="paragraph" w:styleId="ListParagraph">
    <w:name w:val="List Paragraph"/>
    <w:basedOn w:val="Normal"/>
    <w:uiPriority w:val="34"/>
    <w:qFormat/>
    <w:rsid w:val="008F6F42"/>
    <w:pPr>
      <w:ind w:left="720"/>
      <w:contextualSpacing/>
    </w:pPr>
  </w:style>
  <w:style w:type="character" w:styleId="IntenseEmphasis">
    <w:name w:val="Intense Emphasis"/>
    <w:basedOn w:val="DefaultParagraphFont"/>
    <w:uiPriority w:val="21"/>
    <w:qFormat/>
    <w:rsid w:val="008F6F42"/>
    <w:rPr>
      <w:i/>
      <w:iCs/>
      <w:color w:val="0F4761" w:themeColor="accent1" w:themeShade="BF"/>
    </w:rPr>
  </w:style>
  <w:style w:type="paragraph" w:styleId="IntenseQuote">
    <w:name w:val="Intense Quote"/>
    <w:basedOn w:val="Normal"/>
    <w:next w:val="Normal"/>
    <w:link w:val="IntenseQuoteChar"/>
    <w:uiPriority w:val="30"/>
    <w:qFormat/>
    <w:rsid w:val="008F6F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F42"/>
    <w:rPr>
      <w:i/>
      <w:iCs/>
      <w:color w:val="0F4761" w:themeColor="accent1" w:themeShade="BF"/>
    </w:rPr>
  </w:style>
  <w:style w:type="character" w:styleId="IntenseReference">
    <w:name w:val="Intense Reference"/>
    <w:basedOn w:val="DefaultParagraphFont"/>
    <w:uiPriority w:val="32"/>
    <w:qFormat/>
    <w:rsid w:val="008F6F42"/>
    <w:rPr>
      <w:b/>
      <w:bCs/>
      <w:smallCaps/>
      <w:color w:val="0F4761" w:themeColor="accent1" w:themeShade="BF"/>
      <w:spacing w:val="5"/>
    </w:rPr>
  </w:style>
  <w:style w:type="paragraph" w:customStyle="1" w:styleId="BodyCopy">
    <w:name w:val="Body Copy"/>
    <w:basedOn w:val="Header"/>
    <w:qFormat/>
    <w:rsid w:val="008F6F42"/>
    <w:pPr>
      <w:spacing w:after="120"/>
    </w:pPr>
  </w:style>
  <w:style w:type="character" w:styleId="Hyperlink">
    <w:name w:val="Hyperlink"/>
    <w:basedOn w:val="DefaultParagraphFont"/>
    <w:uiPriority w:val="99"/>
    <w:unhideWhenUsed/>
    <w:rsid w:val="008F6F42"/>
    <w:rPr>
      <w:color w:val="467886" w:themeColor="hyperlink"/>
      <w:u w:val="single"/>
    </w:rPr>
  </w:style>
  <w:style w:type="paragraph" w:styleId="Header">
    <w:name w:val="header"/>
    <w:basedOn w:val="Normal"/>
    <w:link w:val="HeaderChar"/>
    <w:uiPriority w:val="99"/>
    <w:unhideWhenUsed/>
    <w:rsid w:val="008F6F42"/>
    <w:pPr>
      <w:tabs>
        <w:tab w:val="center" w:pos="4513"/>
        <w:tab w:val="right" w:pos="9026"/>
      </w:tabs>
    </w:pPr>
  </w:style>
  <w:style w:type="character" w:customStyle="1" w:styleId="HeaderChar">
    <w:name w:val="Header Char"/>
    <w:basedOn w:val="DefaultParagraphFont"/>
    <w:link w:val="Header"/>
    <w:uiPriority w:val="99"/>
    <w:rsid w:val="008F6F42"/>
    <w:rPr>
      <w:rFonts w:ascii="Calibri" w:eastAsia="Calibri" w:hAnsi="Calibri" w:cs="Times New Roman"/>
      <w:kern w:val="0"/>
      <w:szCs w:val="22"/>
      <w:lang w:eastAsia="en-US" w:bidi="ar-SA"/>
      <w14:ligatures w14:val="none"/>
    </w:rPr>
  </w:style>
  <w:style w:type="paragraph" w:styleId="Footer">
    <w:name w:val="footer"/>
    <w:basedOn w:val="Normal"/>
    <w:link w:val="FooterChar"/>
    <w:uiPriority w:val="99"/>
    <w:unhideWhenUsed/>
    <w:rsid w:val="002D5B55"/>
    <w:pPr>
      <w:tabs>
        <w:tab w:val="center" w:pos="4513"/>
        <w:tab w:val="right" w:pos="9026"/>
      </w:tabs>
    </w:pPr>
  </w:style>
  <w:style w:type="character" w:customStyle="1" w:styleId="FooterChar">
    <w:name w:val="Footer Char"/>
    <w:basedOn w:val="DefaultParagraphFont"/>
    <w:link w:val="Footer"/>
    <w:uiPriority w:val="99"/>
    <w:rsid w:val="002D5B55"/>
    <w:rPr>
      <w:rFonts w:ascii="Calibri" w:eastAsia="Calibri" w:hAnsi="Calibri" w:cs="Times New Roman"/>
      <w:kern w:val="0"/>
      <w:szCs w:val="22"/>
      <w:lang w:eastAsia="en-US" w:bidi="ar-SA"/>
      <w14:ligatures w14:val="none"/>
    </w:rPr>
  </w:style>
  <w:style w:type="character" w:styleId="CommentReference">
    <w:name w:val="annotation reference"/>
    <w:basedOn w:val="DefaultParagraphFont"/>
    <w:uiPriority w:val="99"/>
    <w:semiHidden/>
    <w:unhideWhenUsed/>
    <w:rsid w:val="003C79E3"/>
    <w:rPr>
      <w:sz w:val="16"/>
      <w:szCs w:val="16"/>
    </w:rPr>
  </w:style>
  <w:style w:type="paragraph" w:styleId="CommentText">
    <w:name w:val="annotation text"/>
    <w:basedOn w:val="Normal"/>
    <w:link w:val="CommentTextChar"/>
    <w:uiPriority w:val="99"/>
    <w:unhideWhenUsed/>
    <w:rsid w:val="003C79E3"/>
    <w:rPr>
      <w:sz w:val="20"/>
      <w:szCs w:val="20"/>
    </w:rPr>
  </w:style>
  <w:style w:type="character" w:customStyle="1" w:styleId="CommentTextChar">
    <w:name w:val="Comment Text Char"/>
    <w:basedOn w:val="DefaultParagraphFont"/>
    <w:link w:val="CommentText"/>
    <w:uiPriority w:val="99"/>
    <w:rsid w:val="003C79E3"/>
    <w:rPr>
      <w:rFonts w:ascii="Calibri" w:eastAsia="Calibri" w:hAnsi="Calibri" w:cs="Times New Roman"/>
      <w:kern w:val="0"/>
      <w:sz w:val="20"/>
      <w:szCs w:val="20"/>
      <w:lang w:eastAsia="en-US" w:bidi="ar-SA"/>
      <w14:ligatures w14:val="none"/>
    </w:rPr>
  </w:style>
  <w:style w:type="paragraph" w:styleId="CommentSubject">
    <w:name w:val="annotation subject"/>
    <w:basedOn w:val="CommentText"/>
    <w:next w:val="CommentText"/>
    <w:link w:val="CommentSubjectChar"/>
    <w:uiPriority w:val="99"/>
    <w:semiHidden/>
    <w:unhideWhenUsed/>
    <w:rsid w:val="003C79E3"/>
    <w:rPr>
      <w:b/>
      <w:bCs/>
    </w:rPr>
  </w:style>
  <w:style w:type="character" w:customStyle="1" w:styleId="CommentSubjectChar">
    <w:name w:val="Comment Subject Char"/>
    <w:basedOn w:val="CommentTextChar"/>
    <w:link w:val="CommentSubject"/>
    <w:uiPriority w:val="99"/>
    <w:semiHidden/>
    <w:rsid w:val="003C79E3"/>
    <w:rPr>
      <w:rFonts w:ascii="Calibri" w:eastAsia="Calibri" w:hAnsi="Calibri" w:cs="Times New Roman"/>
      <w:b/>
      <w:bCs/>
      <w:kern w:val="0"/>
      <w:sz w:val="20"/>
      <w:szCs w:val="20"/>
      <w:lang w:eastAsia="en-US" w:bidi="ar-SA"/>
      <w14:ligatures w14:val="none"/>
    </w:rPr>
  </w:style>
  <w:style w:type="paragraph" w:customStyle="1" w:styleId="QuestionBox">
    <w:name w:val="Question Box"/>
    <w:basedOn w:val="BodyText"/>
    <w:link w:val="QuestionBoxChar"/>
    <w:uiPriority w:val="8"/>
    <w:qFormat/>
    <w:rsid w:val="00752DBA"/>
    <w:pPr>
      <w:tabs>
        <w:tab w:val="left" w:pos="709"/>
      </w:tabs>
      <w:spacing w:before="80" w:line="360" w:lineRule="auto"/>
      <w:ind w:left="1004" w:right="284"/>
      <w:jc w:val="both"/>
    </w:pPr>
    <w:rPr>
      <w:rFonts w:ascii="Metropolis Light" w:eastAsia="Metropolis Light" w:hAnsi="Metropolis Light"/>
      <w:color w:val="000000" w:themeColor="text1"/>
      <w:sz w:val="20"/>
      <w:szCs w:val="24"/>
      <w:lang w:eastAsia="en-AU"/>
    </w:rPr>
  </w:style>
  <w:style w:type="character" w:customStyle="1" w:styleId="QuestionBoxChar">
    <w:name w:val="Question Box Char"/>
    <w:basedOn w:val="BodyTextChar"/>
    <w:link w:val="QuestionBox"/>
    <w:uiPriority w:val="8"/>
    <w:rsid w:val="00752DBA"/>
    <w:rPr>
      <w:rFonts w:ascii="Metropolis Light" w:eastAsia="Metropolis Light" w:hAnsi="Metropolis Light" w:cs="Times New Roman"/>
      <w:color w:val="000000" w:themeColor="text1"/>
      <w:kern w:val="0"/>
      <w:sz w:val="20"/>
      <w:szCs w:val="24"/>
      <w:lang w:eastAsia="en-AU" w:bidi="ar-SA"/>
      <w14:ligatures w14:val="none"/>
    </w:rPr>
  </w:style>
  <w:style w:type="paragraph" w:styleId="BodyText">
    <w:name w:val="Body Text"/>
    <w:basedOn w:val="Normal"/>
    <w:link w:val="BodyTextChar"/>
    <w:uiPriority w:val="99"/>
    <w:semiHidden/>
    <w:unhideWhenUsed/>
    <w:rsid w:val="00752DBA"/>
    <w:pPr>
      <w:spacing w:after="120"/>
    </w:pPr>
  </w:style>
  <w:style w:type="character" w:customStyle="1" w:styleId="BodyTextChar">
    <w:name w:val="Body Text Char"/>
    <w:basedOn w:val="DefaultParagraphFont"/>
    <w:link w:val="BodyText"/>
    <w:uiPriority w:val="99"/>
    <w:semiHidden/>
    <w:rsid w:val="00752DBA"/>
    <w:rPr>
      <w:rFonts w:ascii="Calibri" w:eastAsia="Calibri" w:hAnsi="Calibri" w:cs="Times New Roman"/>
      <w:kern w:val="0"/>
      <w:szCs w:val="22"/>
      <w:lang w:eastAsia="en-US" w:bidi="ar-SA"/>
      <w14:ligatures w14:val="none"/>
    </w:rPr>
  </w:style>
  <w:style w:type="paragraph" w:styleId="Revision">
    <w:name w:val="Revision"/>
    <w:hidden/>
    <w:uiPriority w:val="99"/>
    <w:semiHidden/>
    <w:rsid w:val="007F0DFD"/>
    <w:pPr>
      <w:spacing w:after="0" w:line="240" w:lineRule="auto"/>
    </w:pPr>
    <w:rPr>
      <w:rFonts w:ascii="Calibri" w:eastAsia="Calibri" w:hAnsi="Calibri" w:cs="Times New Roman"/>
      <w:kern w:val="0"/>
      <w:szCs w:val="22"/>
      <w:lang w:eastAsia="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170148">
      <w:bodyDiv w:val="1"/>
      <w:marLeft w:val="0"/>
      <w:marRight w:val="0"/>
      <w:marTop w:val="0"/>
      <w:marBottom w:val="0"/>
      <w:divBdr>
        <w:top w:val="none" w:sz="0" w:space="0" w:color="auto"/>
        <w:left w:val="none" w:sz="0" w:space="0" w:color="auto"/>
        <w:bottom w:val="none" w:sz="0" w:space="0" w:color="auto"/>
        <w:right w:val="none" w:sz="0" w:space="0" w:color="auto"/>
      </w:divBdr>
    </w:div>
    <w:div w:id="235407286">
      <w:bodyDiv w:val="1"/>
      <w:marLeft w:val="0"/>
      <w:marRight w:val="0"/>
      <w:marTop w:val="0"/>
      <w:marBottom w:val="0"/>
      <w:divBdr>
        <w:top w:val="none" w:sz="0" w:space="0" w:color="auto"/>
        <w:left w:val="none" w:sz="0" w:space="0" w:color="auto"/>
        <w:bottom w:val="none" w:sz="0" w:space="0" w:color="auto"/>
        <w:right w:val="none" w:sz="0" w:space="0" w:color="auto"/>
      </w:divBdr>
    </w:div>
    <w:div w:id="522524347">
      <w:bodyDiv w:val="1"/>
      <w:marLeft w:val="0"/>
      <w:marRight w:val="0"/>
      <w:marTop w:val="0"/>
      <w:marBottom w:val="0"/>
      <w:divBdr>
        <w:top w:val="none" w:sz="0" w:space="0" w:color="auto"/>
        <w:left w:val="none" w:sz="0" w:space="0" w:color="auto"/>
        <w:bottom w:val="none" w:sz="0" w:space="0" w:color="auto"/>
        <w:right w:val="none" w:sz="0" w:space="0" w:color="auto"/>
      </w:divBdr>
    </w:div>
    <w:div w:id="902641404">
      <w:bodyDiv w:val="1"/>
      <w:marLeft w:val="0"/>
      <w:marRight w:val="0"/>
      <w:marTop w:val="0"/>
      <w:marBottom w:val="0"/>
      <w:divBdr>
        <w:top w:val="none" w:sz="0" w:space="0" w:color="auto"/>
        <w:left w:val="none" w:sz="0" w:space="0" w:color="auto"/>
        <w:bottom w:val="none" w:sz="0" w:space="0" w:color="auto"/>
        <w:right w:val="none" w:sz="0" w:space="0" w:color="auto"/>
      </w:divBdr>
    </w:div>
    <w:div w:id="1079447371">
      <w:bodyDiv w:val="1"/>
      <w:marLeft w:val="0"/>
      <w:marRight w:val="0"/>
      <w:marTop w:val="0"/>
      <w:marBottom w:val="0"/>
      <w:divBdr>
        <w:top w:val="none" w:sz="0" w:space="0" w:color="auto"/>
        <w:left w:val="none" w:sz="0" w:space="0" w:color="auto"/>
        <w:bottom w:val="none" w:sz="0" w:space="0" w:color="auto"/>
        <w:right w:val="none" w:sz="0" w:space="0" w:color="auto"/>
      </w:divBdr>
    </w:div>
    <w:div w:id="1374501746">
      <w:bodyDiv w:val="1"/>
      <w:marLeft w:val="0"/>
      <w:marRight w:val="0"/>
      <w:marTop w:val="0"/>
      <w:marBottom w:val="0"/>
      <w:divBdr>
        <w:top w:val="none" w:sz="0" w:space="0" w:color="auto"/>
        <w:left w:val="none" w:sz="0" w:space="0" w:color="auto"/>
        <w:bottom w:val="none" w:sz="0" w:space="0" w:color="auto"/>
        <w:right w:val="none" w:sz="0" w:space="0" w:color="auto"/>
      </w:divBdr>
    </w:div>
    <w:div w:id="1507865343">
      <w:bodyDiv w:val="1"/>
      <w:marLeft w:val="0"/>
      <w:marRight w:val="0"/>
      <w:marTop w:val="0"/>
      <w:marBottom w:val="0"/>
      <w:divBdr>
        <w:top w:val="none" w:sz="0" w:space="0" w:color="auto"/>
        <w:left w:val="none" w:sz="0" w:space="0" w:color="auto"/>
        <w:bottom w:val="none" w:sz="0" w:space="0" w:color="auto"/>
        <w:right w:val="none" w:sz="0" w:space="0" w:color="auto"/>
      </w:divBdr>
    </w:div>
    <w:div w:id="184825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mailto:andrew.mccauley@psa.org.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FC2B5311A2B1458CB79D2CC37CEDB3" ma:contentTypeVersion="6" ma:contentTypeDescription="Create a new document." ma:contentTypeScope="" ma:versionID="43c0a100f45a967bbf7a5ecfa2d0b144">
  <xsd:schema xmlns:xsd="http://www.w3.org/2001/XMLSchema" xmlns:xs="http://www.w3.org/2001/XMLSchema" xmlns:p="http://schemas.microsoft.com/office/2006/metadata/properties" xmlns:ns2="2b33fadd-13b9-4290-9364-fcb1dc055333" xmlns:ns3="c64e33d4-02ec-4c5f-be30-1e22eb606f46" targetNamespace="http://schemas.microsoft.com/office/2006/metadata/properties" ma:root="true" ma:fieldsID="f965bdce4a8a2853f41bc3dd113082c2" ns2:_="" ns3:_="">
    <xsd:import namespace="2b33fadd-13b9-4290-9364-fcb1dc055333"/>
    <xsd:import namespace="c64e33d4-02ec-4c5f-be30-1e22eb606f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3fadd-13b9-4290-9364-fcb1dc055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4e33d4-02ec-4c5f-be30-1e22eb606f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474957-B087-42C0-8D1E-358EFDF05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999C04-2C72-44BD-A6FC-8E9871148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3fadd-13b9-4290-9364-fcb1dc055333"/>
    <ds:schemaRef ds:uri="c64e33d4-02ec-4c5f-be30-1e22eb606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F9775A-2240-4C49-BE42-ADAB230316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3067</Words>
  <Characters>17485</Characters>
  <Application>Microsoft Office Word</Application>
  <DocSecurity>0</DocSecurity>
  <Lines>145</Lines>
  <Paragraphs>41</Paragraphs>
  <ScaleCrop>false</ScaleCrop>
  <Company/>
  <LinksUpToDate>false</LinksUpToDate>
  <CharactersWithSpaces>20511</CharactersWithSpaces>
  <SharedDoc>false</SharedDoc>
  <HLinks>
    <vt:vector size="6" baseType="variant">
      <vt:variant>
        <vt:i4>4980862</vt:i4>
      </vt:variant>
      <vt:variant>
        <vt:i4>0</vt:i4>
      </vt:variant>
      <vt:variant>
        <vt:i4>0</vt:i4>
      </vt:variant>
      <vt:variant>
        <vt:i4>5</vt:i4>
      </vt:variant>
      <vt:variant>
        <vt:lpwstr>mailto:andrew.mccauley@psa.org.nz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McCauley</dc:creator>
  <cp:keywords/>
  <dc:description/>
  <cp:lastModifiedBy>Andrew McCauley</cp:lastModifiedBy>
  <cp:revision>424</cp:revision>
  <cp:lastPrinted>2024-09-05T04:10:00Z</cp:lastPrinted>
  <dcterms:created xsi:type="dcterms:W3CDTF">2024-08-14T02:14:00Z</dcterms:created>
  <dcterms:modified xsi:type="dcterms:W3CDTF">2024-09-05T04:42:00Z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0x01010059FC2B5311A2B1458CB79D2CC37CEDB3</vt:lpwstr>
  </property>
</Properties>
</file>