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E6A4" w14:textId="7B03C756" w:rsidR="00F55F71" w:rsidRDefault="00F55F71" w:rsidP="0004644D">
      <w:pPr>
        <w:pStyle w:val="Title"/>
        <w:tabs>
          <w:tab w:val="center" w:pos="4513"/>
          <w:tab w:val="right" w:pos="9026"/>
        </w:tabs>
        <w:rPr>
          <w:sz w:val="40"/>
          <w:szCs w:val="40"/>
        </w:rPr>
      </w:pPr>
      <w:r w:rsidRPr="00E453D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3A8C7F7" wp14:editId="798066F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17790" cy="2303145"/>
            <wp:effectExtent l="0" t="0" r="0" b="1905"/>
            <wp:wrapSquare wrapText="bothSides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6"/>
                    <a:stretch/>
                  </pic:blipFill>
                  <pic:spPr bwMode="auto">
                    <a:xfrm>
                      <a:off x="0" y="0"/>
                      <a:ext cx="7717790" cy="23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CB" w:rsidRPr="00E453DA">
        <w:rPr>
          <w:sz w:val="40"/>
          <w:szCs w:val="40"/>
        </w:rPr>
        <w:t>S</w:t>
      </w:r>
      <w:r w:rsidRPr="00E453DA">
        <w:rPr>
          <w:sz w:val="40"/>
          <w:szCs w:val="40"/>
        </w:rPr>
        <w:t xml:space="preserve">ubmission on </w:t>
      </w:r>
      <w:r w:rsidR="007D165F" w:rsidRPr="00E453DA">
        <w:rPr>
          <w:sz w:val="40"/>
          <w:szCs w:val="40"/>
        </w:rPr>
        <w:t xml:space="preserve">the Electoral (Lowering Voting Age for Local Elections and Polls) Legislation Bill  </w:t>
      </w:r>
    </w:p>
    <w:p w14:paraId="0E3A51F7" w14:textId="115D1C52" w:rsidR="000554F1" w:rsidRPr="000554F1" w:rsidRDefault="000554F1" w:rsidP="000554F1">
      <w:pPr>
        <w:pStyle w:val="Subtitle"/>
        <w:rPr>
          <w:color w:val="F7921E"/>
        </w:rPr>
      </w:pPr>
      <w:r w:rsidRPr="000554F1">
        <w:rPr>
          <w:color w:val="F7921E"/>
        </w:rPr>
        <w:t>October 2023</w:t>
      </w:r>
    </w:p>
    <w:p w14:paraId="5DDE2719" w14:textId="77777777" w:rsidR="00F55F71" w:rsidRPr="000554F1" w:rsidRDefault="00F55F71" w:rsidP="00F55F71">
      <w:pPr>
        <w:pStyle w:val="BodyCopy"/>
        <w:rPr>
          <w:sz w:val="16"/>
          <w:szCs w:val="16"/>
        </w:rPr>
      </w:pPr>
    </w:p>
    <w:p w14:paraId="2E8EDE4C" w14:textId="77777777" w:rsidR="00F55F71" w:rsidRPr="00E453DA" w:rsidRDefault="00F55F71" w:rsidP="000554F1">
      <w:pPr>
        <w:pStyle w:val="Heading1"/>
      </w:pPr>
      <w:r w:rsidRPr="00E453DA">
        <w:t>About the PSA</w:t>
      </w:r>
    </w:p>
    <w:p w14:paraId="39F2D8E2" w14:textId="7760B0F8" w:rsidR="00F55F71" w:rsidRDefault="00F55F71" w:rsidP="004D15B0">
      <w:pPr>
        <w:pStyle w:val="BodyCopy"/>
      </w:pPr>
      <w:r>
        <w:t xml:space="preserve">The New Zealand Public Service Association Te </w:t>
      </w:r>
      <w:proofErr w:type="spellStart"/>
      <w:r>
        <w:t>Pūkenga</w:t>
      </w:r>
      <w:proofErr w:type="spellEnd"/>
      <w:r>
        <w:t xml:space="preserve"> Here Tikanga Mahi (the PSA) is the largest trade union in New Zealand with over </w:t>
      </w:r>
      <w:r w:rsidR="00112E92">
        <w:t>90</w:t>
      </w:r>
      <w:r>
        <w:t xml:space="preserve">,000 members.  We are a democratic and bicultural organisation representing people working in the Public Service including for departments, crown agents and other crown entities, and </w:t>
      </w:r>
      <w:proofErr w:type="gramStart"/>
      <w:r>
        <w:t>state owned</w:t>
      </w:r>
      <w:proofErr w:type="gramEnd"/>
      <w:r>
        <w:t xml:space="preserve"> enterprises; local government; tertiary education institutions; and non-governmental organisations working in the health, social services and community sectors. Te </w:t>
      </w:r>
      <w:proofErr w:type="spellStart"/>
      <w:r>
        <w:t>Rūnanga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Toa </w:t>
      </w:r>
      <w:proofErr w:type="spellStart"/>
      <w:r>
        <w:t>Āwhina</w:t>
      </w:r>
      <w:proofErr w:type="spellEnd"/>
      <w:r>
        <w:t xml:space="preserve"> is the Māori arm of the PSA membership.</w:t>
      </w:r>
    </w:p>
    <w:p w14:paraId="68DE716F" w14:textId="3C886874" w:rsidR="00564377" w:rsidRDefault="00F55F71" w:rsidP="004D15B0">
      <w:pPr>
        <w:pStyle w:val="BodyCopy"/>
      </w:pPr>
      <w:r>
        <w:t xml:space="preserve">The PSA is affiliated to Te Kauae </w:t>
      </w:r>
      <w:proofErr w:type="spellStart"/>
      <w:r>
        <w:t>Kaimahi</w:t>
      </w:r>
      <w:proofErr w:type="spellEnd"/>
      <w:r>
        <w:t xml:space="preserve"> the New Zealand Council of Trade Unions, Public Services International and </w:t>
      </w:r>
      <w:proofErr w:type="spellStart"/>
      <w:r>
        <w:t>UniGlobal</w:t>
      </w:r>
      <w:proofErr w:type="spellEnd"/>
      <w:r w:rsidR="00564377">
        <w:t>.</w:t>
      </w:r>
    </w:p>
    <w:p w14:paraId="5C79B695" w14:textId="006EFD94" w:rsidR="00F55F71" w:rsidRDefault="007A62AB" w:rsidP="000554F1">
      <w:pPr>
        <w:pStyle w:val="Heading1"/>
      </w:pPr>
      <w:r>
        <w:t xml:space="preserve">Why </w:t>
      </w:r>
      <w:r w:rsidR="007D165F">
        <w:t>th</w:t>
      </w:r>
      <w:r w:rsidR="004464A1">
        <w:t>is legislation</w:t>
      </w:r>
      <w:r w:rsidR="001402B1">
        <w:t xml:space="preserve"> matters</w:t>
      </w:r>
      <w:r w:rsidR="004B06FD">
        <w:t xml:space="preserve"> to </w:t>
      </w:r>
      <w:r w:rsidR="00E163F3">
        <w:t xml:space="preserve">our </w:t>
      </w:r>
      <w:proofErr w:type="gramStart"/>
      <w:r w:rsidR="00E163F3">
        <w:t>members</w:t>
      </w:r>
      <w:proofErr w:type="gramEnd"/>
    </w:p>
    <w:p w14:paraId="6C1A74AD" w14:textId="0AF8783A" w:rsidR="00B95A90" w:rsidRDefault="00B95A90" w:rsidP="003535A4">
      <w:pPr>
        <w:pStyle w:val="BodyCopy"/>
      </w:pPr>
      <w:r>
        <w:t xml:space="preserve">As a democratic </w:t>
      </w:r>
      <w:r w:rsidR="00E55D80">
        <w:t xml:space="preserve">trade </w:t>
      </w:r>
      <w:r>
        <w:t xml:space="preserve">union, democracy is one of our core values. As the union for people working in public and community services, </w:t>
      </w:r>
      <w:r w:rsidR="00684A59">
        <w:t>good</w:t>
      </w:r>
      <w:r>
        <w:t xml:space="preserve"> governance of our society </w:t>
      </w:r>
      <w:r w:rsidR="007B2D2C">
        <w:t xml:space="preserve">– from the national to the local level – </w:t>
      </w:r>
      <w:proofErr w:type="gramStart"/>
      <w:r w:rsidR="007B2D2C">
        <w:t xml:space="preserve">is </w:t>
      </w:r>
      <w:r>
        <w:t>of significant importance</w:t>
      </w:r>
      <w:proofErr w:type="gramEnd"/>
      <w:r>
        <w:t xml:space="preserve"> to us. </w:t>
      </w:r>
    </w:p>
    <w:p w14:paraId="37FF36FF" w14:textId="021D7E7F" w:rsidR="00564377" w:rsidRPr="00F55F71" w:rsidRDefault="00FD41DC" w:rsidP="003535A4">
      <w:pPr>
        <w:pStyle w:val="BodyCopy"/>
      </w:pPr>
      <w:r>
        <w:t xml:space="preserve">We represent over 10,000 workers in local government. </w:t>
      </w:r>
      <w:r w:rsidR="005D02BC">
        <w:t xml:space="preserve">Good local governance and strong local democracy makes a difference to the work </w:t>
      </w:r>
      <w:r w:rsidR="00C100BB">
        <w:t>these workers</w:t>
      </w:r>
      <w:r w:rsidR="005D02BC">
        <w:t xml:space="preserve"> </w:t>
      </w:r>
      <w:proofErr w:type="gramStart"/>
      <w:r w:rsidR="005D02BC">
        <w:t>are able to</w:t>
      </w:r>
      <w:proofErr w:type="gramEnd"/>
      <w:r w:rsidR="005D02BC">
        <w:t xml:space="preserve"> do and the services they are able to provide for communities across Aotearoa.</w:t>
      </w:r>
    </w:p>
    <w:p w14:paraId="726CA58E" w14:textId="227103B0" w:rsidR="00F55F71" w:rsidRDefault="00453AB9" w:rsidP="000554F1">
      <w:pPr>
        <w:pStyle w:val="Heading1"/>
      </w:pPr>
      <w:r>
        <w:t>Comments on the legislation</w:t>
      </w:r>
    </w:p>
    <w:p w14:paraId="0AAD0668" w14:textId="5624FEF4" w:rsidR="00EB2AF7" w:rsidRDefault="00E86FBF" w:rsidP="001402B1">
      <w:pPr>
        <w:pStyle w:val="BodyCopy"/>
      </w:pPr>
      <w:r w:rsidRPr="00E86FBF">
        <w:t xml:space="preserve">The PSA supports people aged 16 and over having the right to vote in </w:t>
      </w:r>
      <w:r w:rsidR="005B1488">
        <w:t xml:space="preserve">local government </w:t>
      </w:r>
      <w:r w:rsidR="00ED539F">
        <w:t xml:space="preserve">and Parliamentary </w:t>
      </w:r>
      <w:r w:rsidRPr="00E86FBF">
        <w:t>elections</w:t>
      </w:r>
      <w:r w:rsidR="005B1488">
        <w:t>, and we support the proposed Bill</w:t>
      </w:r>
      <w:r w:rsidR="00ED539F">
        <w:t xml:space="preserve"> as a starting point towards achieving this.</w:t>
      </w:r>
      <w:r w:rsidR="00C100BB">
        <w:t xml:space="preserve"> </w:t>
      </w:r>
    </w:p>
    <w:p w14:paraId="3C5DC2E7" w14:textId="0175AA0A" w:rsidR="002C1708" w:rsidRDefault="00BF0496" w:rsidP="002C1708">
      <w:pPr>
        <w:pStyle w:val="BodyCopy"/>
      </w:pPr>
      <w:r>
        <w:t>W</w:t>
      </w:r>
      <w:r w:rsidR="0053020D">
        <w:t xml:space="preserve">e acknowledge there are a range of views on the topic about whether 18 or 16 would be the more appropriate </w:t>
      </w:r>
      <w:r>
        <w:t>age for a person to be able to vote</w:t>
      </w:r>
      <w:r w:rsidR="005C5D97">
        <w:t xml:space="preserve">, </w:t>
      </w:r>
      <w:r w:rsidR="00AF07D3">
        <w:t>including</w:t>
      </w:r>
      <w:r w:rsidR="005C5D97">
        <w:t xml:space="preserve"> within our membership.</w:t>
      </w:r>
      <w:r>
        <w:t xml:space="preserve"> However, we note the </w:t>
      </w:r>
      <w:r w:rsidR="00B5796C">
        <w:t xml:space="preserve">Supreme Court’s declaration </w:t>
      </w:r>
      <w:r w:rsidR="008D7376">
        <w:t>of inconsistency with the Bill of Rights Act</w:t>
      </w:r>
      <w:r w:rsidR="003E4DBD">
        <w:t xml:space="preserve"> 1990 – that rights such as the right to vote </w:t>
      </w:r>
      <w:r w:rsidR="002C1708">
        <w:t>may be subject only to such reasonable limits prescribed by law as can be demonstrably justified in a free and democratic society</w:t>
      </w:r>
      <w:r w:rsidR="003E4DBD">
        <w:t>, and that such</w:t>
      </w:r>
      <w:r w:rsidR="001F61D8">
        <w:t xml:space="preserve"> justification has so far not been provided</w:t>
      </w:r>
      <w:r w:rsidR="00993CD1">
        <w:t xml:space="preserve"> in the case of limiting the rights of 16- and 17- year</w:t>
      </w:r>
      <w:r w:rsidR="0064043F">
        <w:t>-</w:t>
      </w:r>
      <w:r w:rsidR="00993CD1">
        <w:t>olds to vote.</w:t>
      </w:r>
    </w:p>
    <w:p w14:paraId="678230F6" w14:textId="199AF28D" w:rsidR="00210666" w:rsidRDefault="008D7376" w:rsidP="001402B1">
      <w:pPr>
        <w:pStyle w:val="BodyCopy"/>
      </w:pPr>
      <w:r>
        <w:t>We support the principle that human rights should only be limited or withheld if strong reasons exist</w:t>
      </w:r>
      <w:r w:rsidR="004F3496">
        <w:t xml:space="preserve"> to justify it</w:t>
      </w:r>
      <w:r w:rsidR="00993CD1">
        <w:t xml:space="preserve">. </w:t>
      </w:r>
      <w:proofErr w:type="gramStart"/>
      <w:r w:rsidR="00993CD1">
        <w:t>T</w:t>
      </w:r>
      <w:r>
        <w:t>herefore</w:t>
      </w:r>
      <w:proofErr w:type="gramEnd"/>
      <w:r>
        <w:t xml:space="preserve"> </w:t>
      </w:r>
      <w:r w:rsidR="00993CD1">
        <w:t>when considering t</w:t>
      </w:r>
      <w:r>
        <w:t xml:space="preserve">he question of voting age </w:t>
      </w:r>
      <w:r w:rsidR="00993CD1">
        <w:t xml:space="preserve">we </w:t>
      </w:r>
      <w:r w:rsidR="00EF5865">
        <w:t xml:space="preserve">believe the issue before us is not which age we prefer, but rather, whether compelling enough </w:t>
      </w:r>
      <w:r w:rsidR="00F11456">
        <w:t xml:space="preserve">reasons exist to </w:t>
      </w:r>
      <w:r w:rsidR="00AE5892">
        <w:t>withhold th</w:t>
      </w:r>
      <w:r>
        <w:t>e</w:t>
      </w:r>
      <w:r w:rsidR="00AE5892">
        <w:t xml:space="preserve"> right </w:t>
      </w:r>
      <w:r>
        <w:lastRenderedPageBreak/>
        <w:t xml:space="preserve">to vote </w:t>
      </w:r>
      <w:r w:rsidR="00AE5892">
        <w:t xml:space="preserve">from 16- and 17- year olds. </w:t>
      </w:r>
      <w:r w:rsidR="001F61D8">
        <w:t>W</w:t>
      </w:r>
      <w:r w:rsidR="00210666">
        <w:t xml:space="preserve">e </w:t>
      </w:r>
      <w:r w:rsidR="005644C6">
        <w:t xml:space="preserve">do not </w:t>
      </w:r>
      <w:r w:rsidR="00A1455E">
        <w:t>believe</w:t>
      </w:r>
      <w:r w:rsidR="005644C6">
        <w:t xml:space="preserve"> that any </w:t>
      </w:r>
      <w:r w:rsidR="00A1455E">
        <w:t xml:space="preserve">such </w:t>
      </w:r>
      <w:r w:rsidR="005644C6">
        <w:t xml:space="preserve">reasons have </w:t>
      </w:r>
      <w:r w:rsidR="00A1455E">
        <w:t>been demonstrated by the Crown or by opponents in the public debate on the lowering of the voting age.</w:t>
      </w:r>
    </w:p>
    <w:p w14:paraId="0C9C69AD" w14:textId="1E547099" w:rsidR="00B5796C" w:rsidRDefault="00A81BF9" w:rsidP="00524B02">
      <w:pPr>
        <w:pStyle w:val="BodyCopy"/>
      </w:pPr>
      <w:r>
        <w:t>Furthermore, w</w:t>
      </w:r>
      <w:r w:rsidR="00A530E5">
        <w:t>e see significant benefits for young people in being able to vote</w:t>
      </w:r>
      <w:r>
        <w:t xml:space="preserve">. </w:t>
      </w:r>
      <w:r w:rsidR="00524B02">
        <w:t xml:space="preserve">Lowering the voting age is a practical, evidence-based change we can support that both makes democratic engagement available to more </w:t>
      </w:r>
      <w:proofErr w:type="gramStart"/>
      <w:r w:rsidR="00524B02">
        <w:t>people, and</w:t>
      </w:r>
      <w:proofErr w:type="gramEnd"/>
      <w:r w:rsidR="00524B02">
        <w:t xml:space="preserve"> </w:t>
      </w:r>
      <w:r w:rsidR="00740253">
        <w:t>has the potential for</w:t>
      </w:r>
      <w:r w:rsidR="00524B02">
        <w:t xml:space="preserve"> long</w:t>
      </w:r>
      <w:r w:rsidR="00740253">
        <w:t>-</w:t>
      </w:r>
      <w:r w:rsidR="00524B02">
        <w:t xml:space="preserve">lasting improvements to democratic </w:t>
      </w:r>
      <w:r w:rsidR="00740253">
        <w:t>p</w:t>
      </w:r>
      <w:r w:rsidR="00524B02">
        <w:t>articipation across our society.</w:t>
      </w:r>
      <w:r w:rsidR="00F56C69">
        <w:t xml:space="preserve"> </w:t>
      </w:r>
      <w:r w:rsidR="00E232B2">
        <w:t xml:space="preserve">Enabling younger people to </w:t>
      </w:r>
      <w:r w:rsidR="00B82420">
        <w:t>vote</w:t>
      </w:r>
      <w:r w:rsidR="00E232B2">
        <w:t xml:space="preserve"> also contributes to greater inter-generational equity</w:t>
      </w:r>
      <w:r w:rsidR="00B82420">
        <w:t xml:space="preserve"> in a democratic </w:t>
      </w:r>
      <w:r w:rsidR="00F03A79">
        <w:t xml:space="preserve">system which, </w:t>
      </w:r>
      <w:r w:rsidR="004F7BDF">
        <w:t>to be frank</w:t>
      </w:r>
      <w:r w:rsidR="00F03A79">
        <w:t xml:space="preserve">, is currently failing future generations through lack of </w:t>
      </w:r>
      <w:r w:rsidR="00995B6D">
        <w:t xml:space="preserve">action </w:t>
      </w:r>
      <w:r w:rsidR="004F7BDF">
        <w:t xml:space="preserve">on </w:t>
      </w:r>
      <w:r w:rsidR="0082348C">
        <w:t xml:space="preserve">critical </w:t>
      </w:r>
      <w:r w:rsidR="004F7BDF">
        <w:t>issues like climate change.</w:t>
      </w:r>
    </w:p>
    <w:p w14:paraId="1B55C2D9" w14:textId="3C64B628" w:rsidR="00F542BA" w:rsidRDefault="006338F1" w:rsidP="000E56C9">
      <w:pPr>
        <w:pStyle w:val="Heading3"/>
      </w:pPr>
      <w:r>
        <w:t>Civics education</w:t>
      </w:r>
    </w:p>
    <w:p w14:paraId="71CCBFD9" w14:textId="02350D0D" w:rsidR="006338F1" w:rsidRDefault="00AF5816" w:rsidP="001402B1">
      <w:pPr>
        <w:pStyle w:val="BodyCopy"/>
      </w:pPr>
      <w:r>
        <w:t>Civics education is a topic that emerged frequently w</w:t>
      </w:r>
      <w:r w:rsidR="006338F1">
        <w:t xml:space="preserve">hen engaging with </w:t>
      </w:r>
      <w:r w:rsidR="000E56C9">
        <w:t xml:space="preserve">the PSA’s own democratic representative structures about </w:t>
      </w:r>
      <w:r>
        <w:t xml:space="preserve">our position on the voting age, and when engaging with our members more widely on </w:t>
      </w:r>
      <w:r w:rsidR="00AA7DC7">
        <w:t xml:space="preserve">the Independent Electoral Review and the Review into the Future </w:t>
      </w:r>
      <w:proofErr w:type="gramStart"/>
      <w:r w:rsidR="00AA7DC7">
        <w:t>For</w:t>
      </w:r>
      <w:proofErr w:type="gramEnd"/>
      <w:r w:rsidR="00AA7DC7">
        <w:t xml:space="preserve"> Local Government. </w:t>
      </w:r>
      <w:r w:rsidR="00263F91">
        <w:t xml:space="preserve">Our members strongly believe in the value of high-quality civics education – not only in for young people within the formal schooling system, but in all phases of life. </w:t>
      </w:r>
    </w:p>
    <w:p w14:paraId="35F50BE8" w14:textId="131BDEA5" w:rsidR="00F542BA" w:rsidRDefault="00F542BA" w:rsidP="00F542BA">
      <w:pPr>
        <w:pStyle w:val="Heading3"/>
      </w:pPr>
      <w:r>
        <w:t xml:space="preserve">Voting age for </w:t>
      </w:r>
      <w:r w:rsidR="000302F9">
        <w:t>Parliamentary elections</w:t>
      </w:r>
    </w:p>
    <w:p w14:paraId="14D560EB" w14:textId="4C5BB65A" w:rsidR="00003760" w:rsidRDefault="000302F9" w:rsidP="000302F9">
      <w:r>
        <w:t>The PSA supports lowering the voting age for both local government and Parliamentary elections.</w:t>
      </w:r>
      <w:r w:rsidR="00957EF9">
        <w:t xml:space="preserve"> We note </w:t>
      </w:r>
      <w:r w:rsidR="004A6399">
        <w:t>that Cabinet’s original decision was to introduce legislation that would cover both local government and Parliamentary elections, but that the scope</w:t>
      </w:r>
      <w:r>
        <w:t xml:space="preserve"> </w:t>
      </w:r>
      <w:r w:rsidR="004A6399">
        <w:t xml:space="preserve">of </w:t>
      </w:r>
      <w:r w:rsidR="00505F5E">
        <w:t>the legislation was later narrowed to only local government “given changing circumstances (including the need to respond to a national emergency)”.</w:t>
      </w:r>
      <w:r w:rsidR="00505F5E">
        <w:rPr>
          <w:rStyle w:val="FootnoteReference"/>
        </w:rPr>
        <w:footnoteReference w:id="2"/>
      </w:r>
      <w:r w:rsidR="00ED1202">
        <w:t xml:space="preserve"> </w:t>
      </w:r>
      <w:r w:rsidR="006B4AC5">
        <w:t>Although we see the proposed legislation as a positive step, it should also be followed by legislation to lower the voting age for Parliamentary elections</w:t>
      </w:r>
      <w:r w:rsidR="00AD7F6C">
        <w:t xml:space="preserve"> as soon as </w:t>
      </w:r>
      <w:r w:rsidR="00453AB9">
        <w:t>is practically feasible</w:t>
      </w:r>
      <w:r w:rsidR="006B4AC5">
        <w:t>.</w:t>
      </w:r>
    </w:p>
    <w:p w14:paraId="32DBCFFC" w14:textId="62E2547C" w:rsidR="00003760" w:rsidRDefault="00003760" w:rsidP="00003760">
      <w:pPr>
        <w:pStyle w:val="Heading3"/>
      </w:pPr>
      <w:r>
        <w:t>C</w:t>
      </w:r>
      <w:r w:rsidRPr="00003760">
        <w:t>ompulsory registration of youth electors</w:t>
      </w:r>
    </w:p>
    <w:p w14:paraId="5F788E7A" w14:textId="287061D8" w:rsidR="00AD116C" w:rsidRDefault="00003760" w:rsidP="00E70C9D">
      <w:pPr>
        <w:pStyle w:val="BodyCopy"/>
      </w:pPr>
      <w:r>
        <w:t>We note</w:t>
      </w:r>
      <w:r w:rsidR="00450F43">
        <w:t xml:space="preserve"> that n</w:t>
      </w:r>
      <w:r w:rsidR="00450F43" w:rsidRPr="00450F43">
        <w:t>ew section 19ZL</w:t>
      </w:r>
      <w:r w:rsidR="00450F43">
        <w:t xml:space="preserve"> would provide for the compulsory registration of youth electors, </w:t>
      </w:r>
      <w:r w:rsidR="00B97C81">
        <w:t xml:space="preserve">and establishes an offence accompanied by a fine </w:t>
      </w:r>
      <w:r w:rsidR="00E70C9D">
        <w:t xml:space="preserve">for 16- and </w:t>
      </w:r>
      <w:r w:rsidR="00AF313A">
        <w:t>17-year-olds</w:t>
      </w:r>
      <w:r w:rsidR="00E70C9D">
        <w:t xml:space="preserve"> who fail to register as electors.</w:t>
      </w:r>
      <w:r w:rsidR="00AD116C">
        <w:t xml:space="preserve"> </w:t>
      </w:r>
      <w:r w:rsidR="003535A4">
        <w:t>We think it may be worth</w:t>
      </w:r>
      <w:r w:rsidR="00856C81">
        <w:t>while for the committee to</w:t>
      </w:r>
      <w:r w:rsidR="003535A4">
        <w:t xml:space="preserve"> consider whether</w:t>
      </w:r>
      <w:r w:rsidR="0074629A">
        <w:t xml:space="preserve"> the issuing of fines for 16- and </w:t>
      </w:r>
      <w:r w:rsidR="00AF313A">
        <w:t>17-year-olds</w:t>
      </w:r>
      <w:r w:rsidR="0015764A">
        <w:t xml:space="preserve"> is </w:t>
      </w:r>
      <w:proofErr w:type="gramStart"/>
      <w:r w:rsidR="00564377">
        <w:t>actually</w:t>
      </w:r>
      <w:r w:rsidR="00AD116C">
        <w:t xml:space="preserve"> a</w:t>
      </w:r>
      <w:proofErr w:type="gramEnd"/>
      <w:r w:rsidR="00AD116C">
        <w:t xml:space="preserve"> </w:t>
      </w:r>
      <w:r w:rsidR="0015764A">
        <w:t xml:space="preserve">desirable </w:t>
      </w:r>
      <w:r w:rsidR="00AD116C">
        <w:t>outcome</w:t>
      </w:r>
      <w:r w:rsidR="007D0C17">
        <w:t>, and if not</w:t>
      </w:r>
      <w:r w:rsidR="00FE5B97">
        <w:t>,</w:t>
      </w:r>
      <w:r w:rsidR="007D0C17">
        <w:t xml:space="preserve"> what changes could be made</w:t>
      </w:r>
      <w:r w:rsidR="0015764A">
        <w:t xml:space="preserve">. </w:t>
      </w:r>
    </w:p>
    <w:p w14:paraId="41661FDE" w14:textId="003B5161" w:rsidR="003535A4" w:rsidRPr="00003760" w:rsidRDefault="0015764A" w:rsidP="00E70C9D">
      <w:pPr>
        <w:pStyle w:val="BodyCopy"/>
      </w:pPr>
      <w:r>
        <w:t xml:space="preserve">We note </w:t>
      </w:r>
      <w:r w:rsidR="00081087">
        <w:t xml:space="preserve">that prosecutions for failing to register </w:t>
      </w:r>
      <w:r w:rsidR="00AD116C">
        <w:t xml:space="preserve">on the electoral roll </w:t>
      </w:r>
      <w:r w:rsidR="00081087">
        <w:t xml:space="preserve">are </w:t>
      </w:r>
      <w:r w:rsidR="00C44624">
        <w:t>very rare</w:t>
      </w:r>
      <w:r w:rsidR="00AD116C">
        <w:t xml:space="preserve"> within the wider population, </w:t>
      </w:r>
      <w:r w:rsidR="000E6354">
        <w:t xml:space="preserve">so perhaps this is an opportunity for the Government to consider removing them altogether. </w:t>
      </w:r>
      <w:r w:rsidR="007D0C17">
        <w:t xml:space="preserve">Alternatively, the committee could consider </w:t>
      </w:r>
      <w:r w:rsidR="00C220C6">
        <w:t>the possibility of</w:t>
      </w:r>
      <w:r w:rsidR="00E453DA">
        <w:t xml:space="preserve"> restricting fines to those over 18.</w:t>
      </w:r>
    </w:p>
    <w:p w14:paraId="461640AC" w14:textId="0C3EA848" w:rsidR="004A500D" w:rsidRDefault="004A500D" w:rsidP="000554F1">
      <w:pPr>
        <w:pStyle w:val="Heading1"/>
      </w:pPr>
      <w:r>
        <w:t>Conclusion</w:t>
      </w:r>
    </w:p>
    <w:p w14:paraId="083DDD9C" w14:textId="0F57848F" w:rsidR="001402B1" w:rsidRDefault="004A500D" w:rsidP="00AA7404">
      <w:pPr>
        <w:spacing w:after="120"/>
      </w:pPr>
      <w:r>
        <w:t xml:space="preserve">We appreciate the opportunity to </w:t>
      </w:r>
      <w:r w:rsidR="00AD7F6C">
        <w:t xml:space="preserve">submit </w:t>
      </w:r>
      <w:r w:rsidR="00711450">
        <w:t>in support of</w:t>
      </w:r>
      <w:r w:rsidR="00AD7F6C">
        <w:t xml:space="preserve"> this legislatio</w:t>
      </w:r>
      <w:r w:rsidR="00711450">
        <w:t xml:space="preserve">n, as it is a positive step towards </w:t>
      </w:r>
      <w:r w:rsidR="009015AB">
        <w:t xml:space="preserve">giving the next generation of our society a greater ability to engage in democracy. We look forward to seeing this legislation passed, and we look forward to seeing further legislation introduced to extend </w:t>
      </w:r>
      <w:r w:rsidR="00EB2AF7">
        <w:t xml:space="preserve">voting rights for Parliamentary elections </w:t>
      </w:r>
      <w:r w:rsidR="00E55D80">
        <w:t>as well</w:t>
      </w:r>
      <w:r w:rsidR="00EB2AF7">
        <w:t xml:space="preserve">. </w:t>
      </w:r>
    </w:p>
    <w:p w14:paraId="1693B736" w14:textId="77777777" w:rsidR="00ED1202" w:rsidRDefault="00ED1202" w:rsidP="004816F4">
      <w:pPr>
        <w:spacing w:after="120"/>
      </w:pPr>
    </w:p>
    <w:p w14:paraId="65EF7B7A" w14:textId="0FB10EDC" w:rsidR="004816F4" w:rsidRDefault="004816F4" w:rsidP="004816F4">
      <w:pPr>
        <w:spacing w:after="120"/>
      </w:pPr>
      <w:r>
        <w:t>For further information about this submission, please contact:</w:t>
      </w:r>
    </w:p>
    <w:p w14:paraId="2F60E2EB" w14:textId="77777777" w:rsidR="004816F4" w:rsidRDefault="004816F4" w:rsidP="004816F4">
      <w:r>
        <w:t>Andrew McCauley</w:t>
      </w:r>
    </w:p>
    <w:p w14:paraId="4DCE34D9" w14:textId="77777777" w:rsidR="00ED1202" w:rsidRDefault="004816F4" w:rsidP="004816F4">
      <w:r>
        <w:t>Senior Advisor, Policy and Strategy</w:t>
      </w:r>
      <w:r w:rsidR="00E453DA">
        <w:t xml:space="preserve">, </w:t>
      </w:r>
      <w:r>
        <w:t>New Zealand Public Service Association</w:t>
      </w:r>
    </w:p>
    <w:p w14:paraId="796C8EBA" w14:textId="756F66F8" w:rsidR="004816F4" w:rsidRPr="004A500D" w:rsidRDefault="004816F4" w:rsidP="004816F4">
      <w:r>
        <w:t>Phone: 027 2712642</w:t>
      </w:r>
      <w:r w:rsidR="00E453DA">
        <w:t>; e</w:t>
      </w:r>
      <w:r>
        <w:t>mail: andrew.mccauley@psa.org.nz</w:t>
      </w:r>
    </w:p>
    <w:sectPr w:rsidR="004816F4" w:rsidRPr="004A50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21FE" w14:textId="77777777" w:rsidR="00CE73A8" w:rsidRDefault="00CE73A8" w:rsidP="00F55F71">
      <w:r>
        <w:separator/>
      </w:r>
    </w:p>
  </w:endnote>
  <w:endnote w:type="continuationSeparator" w:id="0">
    <w:p w14:paraId="52123547" w14:textId="77777777" w:rsidR="00CE73A8" w:rsidRDefault="00CE73A8" w:rsidP="00F55F71">
      <w:r>
        <w:continuationSeparator/>
      </w:r>
    </w:p>
  </w:endnote>
  <w:endnote w:type="continuationNotice" w:id="1">
    <w:p w14:paraId="3FD065E8" w14:textId="77777777" w:rsidR="00861C5A" w:rsidRDefault="00861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9D9" w14:textId="1C8F2793" w:rsidR="00F55F71" w:rsidRDefault="00F55F71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AEDF158" wp14:editId="7304D522">
          <wp:simplePos x="0" y="0"/>
          <wp:positionH relativeFrom="margin">
            <wp:posOffset>-190005</wp:posOffset>
          </wp:positionH>
          <wp:positionV relativeFrom="paragraph">
            <wp:posOffset>0</wp:posOffset>
          </wp:positionV>
          <wp:extent cx="1475740" cy="302260"/>
          <wp:effectExtent l="0" t="0" r="0" b="2540"/>
          <wp:wrapSquare wrapText="bothSides"/>
          <wp:docPr id="172" name="Picture 172" descr="For a better working lif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 a better working lif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43DD" w14:textId="77777777" w:rsidR="00CE73A8" w:rsidRDefault="00CE73A8" w:rsidP="00F55F71">
      <w:r>
        <w:separator/>
      </w:r>
    </w:p>
  </w:footnote>
  <w:footnote w:type="continuationSeparator" w:id="0">
    <w:p w14:paraId="458ABF3A" w14:textId="77777777" w:rsidR="00CE73A8" w:rsidRDefault="00CE73A8" w:rsidP="00F55F71">
      <w:r>
        <w:continuationSeparator/>
      </w:r>
    </w:p>
  </w:footnote>
  <w:footnote w:type="continuationNotice" w:id="1">
    <w:p w14:paraId="3F96F216" w14:textId="77777777" w:rsidR="00861C5A" w:rsidRDefault="00861C5A"/>
  </w:footnote>
  <w:footnote w:id="2">
    <w:p w14:paraId="020BEBFA" w14:textId="7BEE94BC" w:rsidR="00505F5E" w:rsidRPr="00505F5E" w:rsidRDefault="00505F5E" w:rsidP="00C83D9A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83D9A" w:rsidRPr="00E453DA">
          <w:rPr>
            <w:rStyle w:val="Hyperlink"/>
            <w:color w:val="C00000"/>
            <w:lang w:val="mi-NZ"/>
          </w:rPr>
          <w:t>Supplementary Regulatory Impact Statement: Electoral (Lowering the Voting Age for Local Elections and Polls) Legislation Bill</w:t>
        </w:r>
      </w:hyperlink>
      <w:r w:rsidR="00AD7F6C">
        <w:rPr>
          <w:lang w:val="mi-NZ"/>
        </w:rPr>
        <w:t>, page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901"/>
    <w:multiLevelType w:val="hybridMultilevel"/>
    <w:tmpl w:val="D44E36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1E6C"/>
    <w:multiLevelType w:val="hybridMultilevel"/>
    <w:tmpl w:val="7BCCB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958"/>
    <w:multiLevelType w:val="multilevel"/>
    <w:tmpl w:val="D09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32B4E"/>
    <w:multiLevelType w:val="hybridMultilevel"/>
    <w:tmpl w:val="2D9C3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6485"/>
    <w:multiLevelType w:val="hybridMultilevel"/>
    <w:tmpl w:val="2FD2E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211"/>
    <w:multiLevelType w:val="hybridMultilevel"/>
    <w:tmpl w:val="70EA5F10"/>
    <w:lvl w:ilvl="0" w:tplc="1409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</w:abstractNum>
  <w:abstractNum w:abstractNumId="6" w15:restartNumberingAfterBreak="0">
    <w:nsid w:val="5F7B3521"/>
    <w:multiLevelType w:val="hybridMultilevel"/>
    <w:tmpl w:val="F56A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7AFD"/>
    <w:multiLevelType w:val="hybridMultilevel"/>
    <w:tmpl w:val="3E745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72753">
    <w:abstractNumId w:val="6"/>
  </w:num>
  <w:num w:numId="2" w16cid:durableId="1554349876">
    <w:abstractNumId w:val="5"/>
  </w:num>
  <w:num w:numId="3" w16cid:durableId="728042823">
    <w:abstractNumId w:val="1"/>
  </w:num>
  <w:num w:numId="4" w16cid:durableId="1704868566">
    <w:abstractNumId w:val="7"/>
  </w:num>
  <w:num w:numId="5" w16cid:durableId="595990424">
    <w:abstractNumId w:val="2"/>
  </w:num>
  <w:num w:numId="6" w16cid:durableId="177038116">
    <w:abstractNumId w:val="0"/>
  </w:num>
  <w:num w:numId="7" w16cid:durableId="296952348">
    <w:abstractNumId w:val="4"/>
  </w:num>
  <w:num w:numId="8" w16cid:durableId="1286887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71"/>
    <w:rsid w:val="00003760"/>
    <w:rsid w:val="00003AB0"/>
    <w:rsid w:val="00007ACE"/>
    <w:rsid w:val="000302F9"/>
    <w:rsid w:val="000378E4"/>
    <w:rsid w:val="00044167"/>
    <w:rsid w:val="0004644D"/>
    <w:rsid w:val="00053442"/>
    <w:rsid w:val="000554F1"/>
    <w:rsid w:val="00070A1E"/>
    <w:rsid w:val="00081087"/>
    <w:rsid w:val="000B5D1A"/>
    <w:rsid w:val="000C49FA"/>
    <w:rsid w:val="000D12F2"/>
    <w:rsid w:val="000E1FAE"/>
    <w:rsid w:val="000E56C9"/>
    <w:rsid w:val="000E6354"/>
    <w:rsid w:val="00112E92"/>
    <w:rsid w:val="001402B1"/>
    <w:rsid w:val="0015764A"/>
    <w:rsid w:val="00196CEC"/>
    <w:rsid w:val="001B638D"/>
    <w:rsid w:val="001C33DA"/>
    <w:rsid w:val="001F61D8"/>
    <w:rsid w:val="00210666"/>
    <w:rsid w:val="00216268"/>
    <w:rsid w:val="002319BC"/>
    <w:rsid w:val="00244BB7"/>
    <w:rsid w:val="002635B0"/>
    <w:rsid w:val="00263F91"/>
    <w:rsid w:val="0027424F"/>
    <w:rsid w:val="002A1666"/>
    <w:rsid w:val="002B1F20"/>
    <w:rsid w:val="002B76F4"/>
    <w:rsid w:val="002C10B3"/>
    <w:rsid w:val="002C1708"/>
    <w:rsid w:val="002C4512"/>
    <w:rsid w:val="002D5399"/>
    <w:rsid w:val="0030540D"/>
    <w:rsid w:val="00325324"/>
    <w:rsid w:val="00325F28"/>
    <w:rsid w:val="00347D38"/>
    <w:rsid w:val="003535A4"/>
    <w:rsid w:val="003A313F"/>
    <w:rsid w:val="003A6DA6"/>
    <w:rsid w:val="003C14D2"/>
    <w:rsid w:val="003E3BFA"/>
    <w:rsid w:val="003E3CCA"/>
    <w:rsid w:val="003E4DBD"/>
    <w:rsid w:val="003F7B3D"/>
    <w:rsid w:val="00426E41"/>
    <w:rsid w:val="004314C2"/>
    <w:rsid w:val="0044040E"/>
    <w:rsid w:val="004464A1"/>
    <w:rsid w:val="00450F43"/>
    <w:rsid w:val="00453AB9"/>
    <w:rsid w:val="00454F35"/>
    <w:rsid w:val="00462C84"/>
    <w:rsid w:val="0047217C"/>
    <w:rsid w:val="004777FF"/>
    <w:rsid w:val="004816F4"/>
    <w:rsid w:val="00493766"/>
    <w:rsid w:val="004A500D"/>
    <w:rsid w:val="004A6399"/>
    <w:rsid w:val="004B06FD"/>
    <w:rsid w:val="004C54AA"/>
    <w:rsid w:val="004D15B0"/>
    <w:rsid w:val="004D7F53"/>
    <w:rsid w:val="004F3496"/>
    <w:rsid w:val="004F7BDF"/>
    <w:rsid w:val="00501BFB"/>
    <w:rsid w:val="00505F5E"/>
    <w:rsid w:val="00507C80"/>
    <w:rsid w:val="005200D8"/>
    <w:rsid w:val="00524B02"/>
    <w:rsid w:val="0053020D"/>
    <w:rsid w:val="00562605"/>
    <w:rsid w:val="00564377"/>
    <w:rsid w:val="005644C6"/>
    <w:rsid w:val="005B1488"/>
    <w:rsid w:val="005C2A7F"/>
    <w:rsid w:val="005C5D97"/>
    <w:rsid w:val="005C6807"/>
    <w:rsid w:val="005D02BC"/>
    <w:rsid w:val="0060268A"/>
    <w:rsid w:val="006338F1"/>
    <w:rsid w:val="0064043F"/>
    <w:rsid w:val="00650C7C"/>
    <w:rsid w:val="00684A59"/>
    <w:rsid w:val="006950FB"/>
    <w:rsid w:val="006B4AC5"/>
    <w:rsid w:val="00711450"/>
    <w:rsid w:val="00726645"/>
    <w:rsid w:val="00740253"/>
    <w:rsid w:val="0074629A"/>
    <w:rsid w:val="00753585"/>
    <w:rsid w:val="00787076"/>
    <w:rsid w:val="00796F58"/>
    <w:rsid w:val="007A62AB"/>
    <w:rsid w:val="007A67B4"/>
    <w:rsid w:val="007B2D2C"/>
    <w:rsid w:val="007B679F"/>
    <w:rsid w:val="007D0C17"/>
    <w:rsid w:val="007D165F"/>
    <w:rsid w:val="007E6655"/>
    <w:rsid w:val="0081075B"/>
    <w:rsid w:val="0082348C"/>
    <w:rsid w:val="0082690F"/>
    <w:rsid w:val="00833BFD"/>
    <w:rsid w:val="00856C81"/>
    <w:rsid w:val="00861C5A"/>
    <w:rsid w:val="008705D8"/>
    <w:rsid w:val="008741DF"/>
    <w:rsid w:val="008B76D7"/>
    <w:rsid w:val="008C3526"/>
    <w:rsid w:val="008D2088"/>
    <w:rsid w:val="008D7376"/>
    <w:rsid w:val="008F4E97"/>
    <w:rsid w:val="009015AB"/>
    <w:rsid w:val="0093042E"/>
    <w:rsid w:val="00932678"/>
    <w:rsid w:val="00942CF3"/>
    <w:rsid w:val="00957362"/>
    <w:rsid w:val="00957EF9"/>
    <w:rsid w:val="00967489"/>
    <w:rsid w:val="009859A0"/>
    <w:rsid w:val="00993CD1"/>
    <w:rsid w:val="00995B6D"/>
    <w:rsid w:val="009C0F17"/>
    <w:rsid w:val="009C7261"/>
    <w:rsid w:val="009E27F9"/>
    <w:rsid w:val="00A1455E"/>
    <w:rsid w:val="00A42FB7"/>
    <w:rsid w:val="00A530E5"/>
    <w:rsid w:val="00A56DAA"/>
    <w:rsid w:val="00A81BF9"/>
    <w:rsid w:val="00A86186"/>
    <w:rsid w:val="00A93678"/>
    <w:rsid w:val="00AA7404"/>
    <w:rsid w:val="00AA7DC7"/>
    <w:rsid w:val="00AB3477"/>
    <w:rsid w:val="00AD116C"/>
    <w:rsid w:val="00AD7F6C"/>
    <w:rsid w:val="00AE0218"/>
    <w:rsid w:val="00AE5892"/>
    <w:rsid w:val="00AF07D3"/>
    <w:rsid w:val="00AF313A"/>
    <w:rsid w:val="00AF5816"/>
    <w:rsid w:val="00B31CE4"/>
    <w:rsid w:val="00B43B02"/>
    <w:rsid w:val="00B43E44"/>
    <w:rsid w:val="00B447BE"/>
    <w:rsid w:val="00B5796C"/>
    <w:rsid w:val="00B82420"/>
    <w:rsid w:val="00B95A90"/>
    <w:rsid w:val="00B97C81"/>
    <w:rsid w:val="00BC4DAC"/>
    <w:rsid w:val="00BD669C"/>
    <w:rsid w:val="00BF0496"/>
    <w:rsid w:val="00C100BB"/>
    <w:rsid w:val="00C220C6"/>
    <w:rsid w:val="00C44624"/>
    <w:rsid w:val="00C5366E"/>
    <w:rsid w:val="00C83D9A"/>
    <w:rsid w:val="00CE73A8"/>
    <w:rsid w:val="00D16149"/>
    <w:rsid w:val="00D37B6A"/>
    <w:rsid w:val="00D55C37"/>
    <w:rsid w:val="00D7663B"/>
    <w:rsid w:val="00D946B0"/>
    <w:rsid w:val="00DA1761"/>
    <w:rsid w:val="00DA5122"/>
    <w:rsid w:val="00DB1702"/>
    <w:rsid w:val="00DD60E8"/>
    <w:rsid w:val="00DD6D28"/>
    <w:rsid w:val="00DE7DB9"/>
    <w:rsid w:val="00DF18C4"/>
    <w:rsid w:val="00E00939"/>
    <w:rsid w:val="00E163F3"/>
    <w:rsid w:val="00E167CB"/>
    <w:rsid w:val="00E232B2"/>
    <w:rsid w:val="00E337C1"/>
    <w:rsid w:val="00E453DA"/>
    <w:rsid w:val="00E55D80"/>
    <w:rsid w:val="00E6085D"/>
    <w:rsid w:val="00E70C9D"/>
    <w:rsid w:val="00E86FBF"/>
    <w:rsid w:val="00EA665A"/>
    <w:rsid w:val="00EB2AF7"/>
    <w:rsid w:val="00EC7B82"/>
    <w:rsid w:val="00ED1202"/>
    <w:rsid w:val="00ED539F"/>
    <w:rsid w:val="00EF5865"/>
    <w:rsid w:val="00F03A79"/>
    <w:rsid w:val="00F11456"/>
    <w:rsid w:val="00F23923"/>
    <w:rsid w:val="00F542BA"/>
    <w:rsid w:val="00F55F71"/>
    <w:rsid w:val="00F56C69"/>
    <w:rsid w:val="00FB1E3C"/>
    <w:rsid w:val="00FD41DC"/>
    <w:rsid w:val="00FE5B97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F2272"/>
  <w15:chartTrackingRefBased/>
  <w15:docId w15:val="{A3CCB4C9-A996-4092-B97D-504ADFF4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0554F1"/>
    <w:pPr>
      <w:spacing w:before="240" w:after="120"/>
      <w:outlineLvl w:val="0"/>
    </w:pPr>
    <w:rPr>
      <w:b/>
      <w:color w:val="E67A1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F71"/>
    <w:pPr>
      <w:outlineLvl w:val="1"/>
    </w:pPr>
    <w:rPr>
      <w:b/>
      <w:bCs/>
      <w:color w:val="F7921E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55F71"/>
    <w:pPr>
      <w:keepLines/>
      <w:spacing w:before="200" w:after="120"/>
      <w:outlineLvl w:val="2"/>
    </w:pPr>
    <w:rPr>
      <w:b w:val="0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55F71"/>
    <w:rPr>
      <w:b/>
      <w:bCs/>
      <w:color w:val="F7921E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55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71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5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71"/>
    <w:rPr>
      <w:kern w:val="0"/>
      <w:sz w:val="22"/>
      <w:szCs w:val="22"/>
      <w14:ligatures w14:val="none"/>
    </w:rPr>
  </w:style>
  <w:style w:type="character" w:customStyle="1" w:styleId="Heading1Char">
    <w:name w:val="Heading 1 Char"/>
    <w:basedOn w:val="DefaultParagraphFont"/>
    <w:link w:val="Heading1"/>
    <w:rsid w:val="000554F1"/>
    <w:rPr>
      <w:b/>
      <w:color w:val="E67A1E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rsid w:val="00F55F71"/>
    <w:rPr>
      <w:bCs/>
      <w:i/>
      <w:color w:val="F7921E"/>
      <w:kern w:val="0"/>
      <w:sz w:val="24"/>
      <w:szCs w:val="24"/>
      <w14:ligatures w14:val="none"/>
    </w:rPr>
  </w:style>
  <w:style w:type="paragraph" w:customStyle="1" w:styleId="BodyCopy">
    <w:name w:val="Body Copy"/>
    <w:basedOn w:val="Header"/>
    <w:qFormat/>
    <w:rsid w:val="00F55F71"/>
    <w:pPr>
      <w:spacing w:after="120"/>
    </w:pPr>
  </w:style>
  <w:style w:type="paragraph" w:styleId="Title">
    <w:name w:val="Title"/>
    <w:basedOn w:val="Heading3"/>
    <w:next w:val="Normal"/>
    <w:link w:val="TitleChar"/>
    <w:uiPriority w:val="10"/>
    <w:qFormat/>
    <w:rsid w:val="007A67B4"/>
    <w:pPr>
      <w:spacing w:before="240"/>
    </w:pPr>
    <w:rPr>
      <w:b/>
      <w:i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A67B4"/>
    <w:rPr>
      <w:b/>
      <w:bCs/>
      <w:color w:val="F7921E"/>
      <w:kern w:val="0"/>
      <w:sz w:val="44"/>
      <w:szCs w:val="4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3F3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163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3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79F"/>
    <w:pPr>
      <w:ind w:left="720"/>
      <w:contextualSpacing/>
    </w:pPr>
  </w:style>
  <w:style w:type="paragraph" w:styleId="Revision">
    <w:name w:val="Revision"/>
    <w:hidden/>
    <w:uiPriority w:val="99"/>
    <w:semiHidden/>
    <w:rsid w:val="00DE7DB9"/>
    <w:rPr>
      <w:kern w:val="0"/>
      <w:sz w:val="22"/>
      <w:szCs w:val="2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54F1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.govt.nz/diawebsite.nsf/Files/Regulatory-Impact-2023/$file/RIS-Lowering-Voting-Age-for-Local-Elections-and-Polls_Redacted.pdf" TargetMode="External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D41E-8C02-4635-85D3-B187124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Submission on the Climate Change Commission’s draft advice on the Government’s s</vt:lpstr>
      <vt:lpstr>About the PSA</vt:lpstr>
      <vt:lpstr>Why the Governemnt’s emissions reduction plan is important to our members</vt:lpstr>
      <vt:lpstr>About this submission</vt:lpstr>
      <vt:lpstr>Summary of recommendations</vt:lpstr>
      <vt:lpstr>General comments</vt:lpstr>
      <vt:lpstr>Feedback on specific sections</vt:lpstr>
      <vt:lpstr>        Chapter 5: Whāia Ngā Tapuwae</vt:lpstr>
      <vt:lpstr>        Chapter 6: Maintaining and Enhancing Wellbeing through the Transition</vt:lpstr>
      <vt:lpstr>        Employment and wellbeing</vt:lpstr>
      <vt:lpstr>        Expanding the scope of the Equitable Transitions Strategy to include adaptation</vt:lpstr>
      <vt:lpstr>        Managing transitional impacts equitably</vt:lpstr>
      <vt:lpstr>    Chapter 8: Built Environment</vt:lpstr>
      <vt:lpstr>        Infrastructure</vt:lpstr>
      <vt:lpstr>        Buildings</vt:lpstr>
      <vt:lpstr>        Chapter 11: Transport</vt:lpstr>
      <vt:lpstr>        Support for low-income and disadvantaged groups to transition to low-emissions v</vt:lpstr>
      <vt:lpstr>        Chapter 13: Research, Science, Innovation, and Technology </vt:lpstr>
      <vt:lpstr>        Chapter 14: Funding and Finance</vt:lpstr>
      <vt:lpstr>Conclusion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McCauley</dc:creator>
  <cp:keywords/>
  <dc:description/>
  <cp:lastModifiedBy>Andrew McCauley</cp:lastModifiedBy>
  <cp:revision>144</cp:revision>
  <cp:lastPrinted>2023-10-17T04:35:00Z</cp:lastPrinted>
  <dcterms:created xsi:type="dcterms:W3CDTF">2023-09-20T01:51:00Z</dcterms:created>
  <dcterms:modified xsi:type="dcterms:W3CDTF">2023-10-17T04:35:00Z</dcterms:modified>
</cp:coreProperties>
</file>